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7A9D" w:rsidRDefault="006A7A9D" w:rsidP="006A7A9D">
      <w:pPr>
        <w:rPr>
          <w:rFonts w:ascii="Arial" w:hAnsi="Arial" w:cs="Arial"/>
          <w:sz w:val="28"/>
          <w:lang w:val="fr-FR"/>
        </w:rPr>
      </w:pPr>
      <w:r>
        <w:rPr>
          <w:noProof/>
          <w:lang w:val="en-GB" w:eastAsia="en-GB"/>
        </w:rPr>
        <w:drawing>
          <wp:anchor distT="0" distB="0" distL="114300" distR="114300" simplePos="0" relativeHeight="251687936" behindDoc="0" locked="0" layoutInCell="1" allowOverlap="1">
            <wp:simplePos x="0" y="0"/>
            <wp:positionH relativeFrom="column">
              <wp:posOffset>4107180</wp:posOffset>
            </wp:positionH>
            <wp:positionV relativeFrom="paragraph">
              <wp:posOffset>-693420</wp:posOffset>
            </wp:positionV>
            <wp:extent cx="1927860" cy="693420"/>
            <wp:effectExtent l="19050" t="0" r="0" b="0"/>
            <wp:wrapNone/>
            <wp:docPr id="26" name="Image 25" descr="CHBA_SIPP_S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HBA_SIPP_SCP"/>
                    <pic:cNvPicPr>
                      <a:picLocks noChangeAspect="1" noChangeArrowheads="1"/>
                    </pic:cNvPicPr>
                  </pic:nvPicPr>
                  <pic:blipFill>
                    <a:blip r:embed="rId6" cstate="print"/>
                    <a:srcRect/>
                    <a:stretch>
                      <a:fillRect/>
                    </a:stretch>
                  </pic:blipFill>
                  <pic:spPr bwMode="auto">
                    <a:xfrm>
                      <a:off x="0" y="0"/>
                      <a:ext cx="1927860" cy="693420"/>
                    </a:xfrm>
                    <a:prstGeom prst="rect">
                      <a:avLst/>
                    </a:prstGeom>
                    <a:noFill/>
                    <a:ln w="9525">
                      <a:noFill/>
                      <a:miter lim="800000"/>
                      <a:headEnd/>
                      <a:tailEnd/>
                    </a:ln>
                  </pic:spPr>
                </pic:pic>
              </a:graphicData>
            </a:graphic>
          </wp:anchor>
        </w:drawing>
      </w:r>
    </w:p>
    <w:tbl>
      <w:tblPr>
        <w:tblW w:w="9639"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tblPr>
      <w:tblGrid>
        <w:gridCol w:w="9639"/>
      </w:tblGrid>
      <w:tr w:rsidR="006A7A9D" w:rsidTr="002F05DD">
        <w:trPr>
          <w:cantSplit/>
        </w:trPr>
        <w:tc>
          <w:tcPr>
            <w:tcW w:w="9639" w:type="dxa"/>
            <w:tcBorders>
              <w:top w:val="single" w:sz="4" w:space="0" w:color="7F7F7F"/>
              <w:left w:val="single" w:sz="4" w:space="0" w:color="7F7F7F"/>
              <w:bottom w:val="single" w:sz="4" w:space="0" w:color="7F7F7F"/>
              <w:right w:val="single" w:sz="4" w:space="0" w:color="7F7F7F"/>
            </w:tcBorders>
            <w:shd w:val="clear" w:color="auto" w:fill="6F6652"/>
          </w:tcPr>
          <w:p w:rsidR="006A7A9D" w:rsidRDefault="006A7A9D" w:rsidP="002F05DD">
            <w:pPr>
              <w:pStyle w:val="TableHeading"/>
              <w:ind w:right="-108"/>
              <w:jc w:val="center"/>
              <w:rPr>
                <w:color w:val="FFFFFF"/>
                <w:sz w:val="28"/>
                <w:lang w:val="fr-FR"/>
              </w:rPr>
            </w:pPr>
            <w:r>
              <w:rPr>
                <w:color w:val="FFFFFF"/>
                <w:sz w:val="28"/>
                <w:lang w:val="fr-FR"/>
              </w:rPr>
              <w:t>Procédure d’utilisation des appareils de mesure du SCP</w:t>
            </w:r>
          </w:p>
          <w:p w:rsidR="006A7A9D" w:rsidRDefault="006A7A9D" w:rsidP="002F05DD">
            <w:pPr>
              <w:pStyle w:val="TableHeading"/>
              <w:jc w:val="center"/>
              <w:rPr>
                <w:color w:val="FFFFFF"/>
                <w:sz w:val="28"/>
                <w:lang w:val="fr-FR"/>
              </w:rPr>
            </w:pPr>
          </w:p>
        </w:tc>
      </w:tr>
      <w:tr w:rsidR="006A7A9D" w:rsidTr="002F05DD">
        <w:trPr>
          <w:cantSplit/>
        </w:trPr>
        <w:tc>
          <w:tcPr>
            <w:tcW w:w="9639" w:type="dxa"/>
            <w:tcBorders>
              <w:top w:val="single" w:sz="4" w:space="0" w:color="7F7F7F"/>
              <w:left w:val="single" w:sz="4" w:space="0" w:color="7F7F7F"/>
              <w:bottom w:val="single" w:sz="4" w:space="0" w:color="7F7F7F"/>
              <w:right w:val="single" w:sz="4" w:space="0" w:color="7F7F7F"/>
            </w:tcBorders>
          </w:tcPr>
          <w:p w:rsidR="006A7A9D" w:rsidRDefault="006A7A9D" w:rsidP="002F05DD">
            <w:pPr>
              <w:pStyle w:val="TableCell"/>
              <w:jc w:val="center"/>
              <w:rPr>
                <w:sz w:val="28"/>
                <w:lang w:val="fr-FR"/>
              </w:rPr>
            </w:pPr>
            <w:r>
              <w:rPr>
                <w:sz w:val="28"/>
                <w:lang w:val="fr-FR"/>
              </w:rPr>
              <w:t>SCP – OI006</w:t>
            </w:r>
          </w:p>
        </w:tc>
      </w:tr>
    </w:tbl>
    <w:p w:rsidR="006A7A9D" w:rsidRDefault="006A7A9D" w:rsidP="006A7A9D">
      <w:pPr>
        <w:rPr>
          <w:rFonts w:ascii="Arial" w:hAnsi="Arial" w:cs="Arial"/>
          <w:lang w:val="fr-FR"/>
        </w:rPr>
      </w:pPr>
    </w:p>
    <w:p w:rsidR="006A7A9D" w:rsidRDefault="006A7A9D" w:rsidP="008D66B3">
      <w:pPr>
        <w:pStyle w:val="Titre1"/>
        <w:rPr>
          <w:lang w:val="fr-FR"/>
        </w:rPr>
      </w:pPr>
    </w:p>
    <w:p w:rsidR="006A7A9D" w:rsidRPr="008D66B3" w:rsidRDefault="006A7A9D" w:rsidP="008D66B3">
      <w:pPr>
        <w:pStyle w:val="Titre1"/>
        <w:numPr>
          <w:ilvl w:val="0"/>
          <w:numId w:val="18"/>
        </w:numPr>
        <w:jc w:val="left"/>
        <w:rPr>
          <w:rFonts w:ascii="Calibri" w:hAnsi="Calibri"/>
          <w:color w:val="auto"/>
        </w:rPr>
      </w:pPr>
      <w:bookmarkStart w:id="0" w:name="_Toc70082771"/>
      <w:bookmarkStart w:id="1" w:name="_Toc70948779"/>
      <w:r w:rsidRPr="008D66B3">
        <w:rPr>
          <w:rFonts w:ascii="Calibri" w:hAnsi="Calibri"/>
          <w:color w:val="auto"/>
        </w:rPr>
        <w:t>Historique et processus d’approbation</w:t>
      </w:r>
      <w:bookmarkEnd w:id="0"/>
      <w:bookmarkEnd w:id="1"/>
    </w:p>
    <w:p w:rsidR="006A7A9D" w:rsidRDefault="006A7A9D" w:rsidP="006A7A9D">
      <w:pPr>
        <w:rPr>
          <w:rFonts w:ascii="Arial" w:hAnsi="Arial" w:cs="Arial"/>
          <w:lang w:val="fr-FR"/>
        </w:rPr>
      </w:pPr>
    </w:p>
    <w:tbl>
      <w:tblPr>
        <w:tblW w:w="9639"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tblPr>
      <w:tblGrid>
        <w:gridCol w:w="1276"/>
        <w:gridCol w:w="1712"/>
        <w:gridCol w:w="1620"/>
        <w:gridCol w:w="1488"/>
        <w:gridCol w:w="1701"/>
        <w:gridCol w:w="1842"/>
      </w:tblGrid>
      <w:tr w:rsidR="006A7A9D" w:rsidTr="002F05DD">
        <w:tc>
          <w:tcPr>
            <w:tcW w:w="1276" w:type="dxa"/>
            <w:tcBorders>
              <w:top w:val="single" w:sz="4" w:space="0" w:color="7F7F7F"/>
              <w:left w:val="single" w:sz="4" w:space="0" w:color="7F7F7F"/>
              <w:bottom w:val="single" w:sz="4" w:space="0" w:color="7F7F7F"/>
              <w:right w:val="single" w:sz="4" w:space="0" w:color="7F7F7F"/>
            </w:tcBorders>
            <w:shd w:val="clear" w:color="auto" w:fill="6F6652"/>
          </w:tcPr>
          <w:p w:rsidR="006A7A9D" w:rsidRDefault="006A7A9D" w:rsidP="002F05DD">
            <w:pPr>
              <w:pStyle w:val="TableHeading"/>
              <w:ind w:right="-108"/>
              <w:rPr>
                <w:color w:val="FFFFFF"/>
                <w:lang w:val="fr-FR"/>
              </w:rPr>
            </w:pPr>
            <w:r>
              <w:rPr>
                <w:color w:val="FFFFFF"/>
                <w:lang w:val="fr-FR"/>
              </w:rPr>
              <w:t>Action</w:t>
            </w:r>
          </w:p>
        </w:tc>
        <w:tc>
          <w:tcPr>
            <w:tcW w:w="1712" w:type="dxa"/>
            <w:tcBorders>
              <w:top w:val="single" w:sz="4" w:space="0" w:color="7F7F7F"/>
              <w:left w:val="single" w:sz="4" w:space="0" w:color="7F7F7F"/>
              <w:bottom w:val="single" w:sz="4" w:space="0" w:color="7F7F7F"/>
              <w:right w:val="single" w:sz="4" w:space="0" w:color="7F7F7F"/>
            </w:tcBorders>
            <w:shd w:val="clear" w:color="auto" w:fill="6F6652"/>
          </w:tcPr>
          <w:p w:rsidR="006A7A9D" w:rsidRDefault="006A7A9D" w:rsidP="002F05DD">
            <w:pPr>
              <w:pStyle w:val="TableHeading"/>
              <w:rPr>
                <w:color w:val="FFFFFF"/>
                <w:lang w:val="fr-FR"/>
              </w:rPr>
            </w:pPr>
            <w:r>
              <w:rPr>
                <w:color w:val="FFFFFF"/>
                <w:lang w:val="fr-FR"/>
              </w:rPr>
              <w:t>Auteur</w:t>
            </w:r>
          </w:p>
        </w:tc>
        <w:tc>
          <w:tcPr>
            <w:tcW w:w="1620" w:type="dxa"/>
            <w:tcBorders>
              <w:top w:val="single" w:sz="4" w:space="0" w:color="7F7F7F"/>
              <w:left w:val="single" w:sz="4" w:space="0" w:color="7F7F7F"/>
              <w:bottom w:val="single" w:sz="4" w:space="0" w:color="7F7F7F"/>
              <w:right w:val="single" w:sz="4" w:space="0" w:color="7F7F7F"/>
            </w:tcBorders>
            <w:shd w:val="clear" w:color="auto" w:fill="6F6652"/>
          </w:tcPr>
          <w:p w:rsidR="006A7A9D" w:rsidRDefault="006A7A9D" w:rsidP="002F05DD">
            <w:pPr>
              <w:pStyle w:val="TableHeading"/>
              <w:rPr>
                <w:color w:val="FFFFFF"/>
                <w:lang w:val="fr-FR"/>
              </w:rPr>
            </w:pPr>
            <w:r>
              <w:rPr>
                <w:color w:val="FFFFFF"/>
                <w:lang w:val="fr-FR"/>
              </w:rPr>
              <w:t>Date + signature </w:t>
            </w:r>
          </w:p>
          <w:p w:rsidR="006A7A9D" w:rsidRDefault="006A7A9D" w:rsidP="002F05DD">
            <w:pPr>
              <w:pStyle w:val="TableHeading"/>
              <w:rPr>
                <w:color w:val="FFFFFF"/>
                <w:lang w:val="fr-FR"/>
              </w:rPr>
            </w:pPr>
            <w:r>
              <w:rPr>
                <w:color w:val="FFFFFF"/>
                <w:lang w:val="fr-FR"/>
              </w:rPr>
              <w:t>(dernière édition)</w:t>
            </w:r>
          </w:p>
        </w:tc>
        <w:tc>
          <w:tcPr>
            <w:tcW w:w="1488" w:type="dxa"/>
            <w:tcBorders>
              <w:top w:val="single" w:sz="4" w:space="0" w:color="7F7F7F"/>
              <w:left w:val="single" w:sz="4" w:space="0" w:color="7F7F7F"/>
              <w:bottom w:val="single" w:sz="4" w:space="0" w:color="7F7F7F"/>
              <w:right w:val="single" w:sz="4" w:space="0" w:color="7F7F7F"/>
            </w:tcBorders>
            <w:shd w:val="clear" w:color="auto" w:fill="6F6652"/>
          </w:tcPr>
          <w:p w:rsidR="006A7A9D" w:rsidRDefault="006A7A9D" w:rsidP="002F05DD">
            <w:pPr>
              <w:pStyle w:val="TableHeading"/>
              <w:rPr>
                <w:color w:val="FFFFFF"/>
                <w:lang w:val="fr-FR"/>
              </w:rPr>
            </w:pPr>
            <w:r>
              <w:rPr>
                <w:color w:val="FFFFFF"/>
                <w:lang w:val="fr-FR"/>
              </w:rPr>
              <w:t>Approbation</w:t>
            </w:r>
          </w:p>
        </w:tc>
        <w:tc>
          <w:tcPr>
            <w:tcW w:w="1701" w:type="dxa"/>
            <w:tcBorders>
              <w:top w:val="single" w:sz="4" w:space="0" w:color="7F7F7F"/>
              <w:left w:val="single" w:sz="4" w:space="0" w:color="7F7F7F"/>
              <w:bottom w:val="single" w:sz="4" w:space="0" w:color="7F7F7F"/>
              <w:right w:val="single" w:sz="4" w:space="0" w:color="7F7F7F"/>
            </w:tcBorders>
            <w:shd w:val="clear" w:color="auto" w:fill="6F6652"/>
          </w:tcPr>
          <w:p w:rsidR="006A7A9D" w:rsidRDefault="006A7A9D" w:rsidP="002F05DD">
            <w:pPr>
              <w:pStyle w:val="TableHeading"/>
              <w:rPr>
                <w:color w:val="FFFFFF"/>
                <w:lang w:val="fr-FR"/>
              </w:rPr>
            </w:pPr>
            <w:r>
              <w:rPr>
                <w:color w:val="FFFFFF"/>
                <w:lang w:val="fr-FR"/>
              </w:rPr>
              <w:t>Date  + signature approbation</w:t>
            </w:r>
          </w:p>
          <w:p w:rsidR="006A7A9D" w:rsidRDefault="006A7A9D" w:rsidP="002F05DD">
            <w:pPr>
              <w:pStyle w:val="TableHeading"/>
              <w:rPr>
                <w:color w:val="FFFFFF"/>
                <w:lang w:val="fr-FR"/>
              </w:rPr>
            </w:pPr>
            <w:r>
              <w:rPr>
                <w:color w:val="FFFFFF"/>
                <w:lang w:val="fr-FR"/>
              </w:rPr>
              <w:t>(dernière édition)</w:t>
            </w:r>
          </w:p>
        </w:tc>
        <w:tc>
          <w:tcPr>
            <w:tcW w:w="1842" w:type="dxa"/>
            <w:tcBorders>
              <w:top w:val="single" w:sz="4" w:space="0" w:color="7F7F7F"/>
              <w:left w:val="single" w:sz="4" w:space="0" w:color="7F7F7F"/>
              <w:bottom w:val="single" w:sz="4" w:space="0" w:color="7F7F7F"/>
              <w:right w:val="single" w:sz="4" w:space="0" w:color="7F7F7F"/>
            </w:tcBorders>
            <w:shd w:val="clear" w:color="auto" w:fill="6F6652"/>
          </w:tcPr>
          <w:p w:rsidR="006A7A9D" w:rsidRDefault="006A7A9D" w:rsidP="002F05DD">
            <w:pPr>
              <w:pStyle w:val="TableHeading"/>
              <w:rPr>
                <w:color w:val="FFFFFF"/>
                <w:lang w:val="fr-FR"/>
              </w:rPr>
            </w:pPr>
            <w:r>
              <w:rPr>
                <w:color w:val="FFFFFF"/>
                <w:lang w:val="fr-FR"/>
              </w:rPr>
              <w:t>Approbation contrôle physique (date et signature)</w:t>
            </w:r>
          </w:p>
        </w:tc>
      </w:tr>
      <w:tr w:rsidR="006A7A9D" w:rsidTr="002F05DD">
        <w:tc>
          <w:tcPr>
            <w:tcW w:w="1276" w:type="dxa"/>
            <w:tcBorders>
              <w:top w:val="single" w:sz="4" w:space="0" w:color="7F7F7F"/>
              <w:left w:val="single" w:sz="4" w:space="0" w:color="7F7F7F"/>
              <w:bottom w:val="single" w:sz="4" w:space="0" w:color="7F7F7F"/>
              <w:right w:val="single" w:sz="4" w:space="0" w:color="7F7F7F"/>
            </w:tcBorders>
          </w:tcPr>
          <w:p w:rsidR="006A7A9D" w:rsidRDefault="006A7A9D" w:rsidP="002F05DD">
            <w:pPr>
              <w:pStyle w:val="TableCell"/>
              <w:rPr>
                <w:lang w:val="fr-FR"/>
              </w:rPr>
            </w:pPr>
          </w:p>
          <w:p w:rsidR="006A7A9D" w:rsidRDefault="006A7A9D" w:rsidP="002F05DD">
            <w:pPr>
              <w:pStyle w:val="TableCell"/>
              <w:rPr>
                <w:lang w:val="fr-FR"/>
              </w:rPr>
            </w:pPr>
            <w:r>
              <w:rPr>
                <w:lang w:val="fr-FR"/>
              </w:rPr>
              <w:t>Rédaction</w:t>
            </w:r>
          </w:p>
        </w:tc>
        <w:tc>
          <w:tcPr>
            <w:tcW w:w="1712" w:type="dxa"/>
            <w:tcBorders>
              <w:top w:val="single" w:sz="4" w:space="0" w:color="7F7F7F"/>
              <w:left w:val="single" w:sz="4" w:space="0" w:color="7F7F7F"/>
              <w:bottom w:val="single" w:sz="4" w:space="0" w:color="7F7F7F"/>
              <w:right w:val="single" w:sz="4" w:space="0" w:color="7F7F7F"/>
            </w:tcBorders>
          </w:tcPr>
          <w:p w:rsidR="006A7A9D" w:rsidRDefault="006A7A9D" w:rsidP="002F05DD">
            <w:pPr>
              <w:pStyle w:val="TableCell"/>
              <w:rPr>
                <w:lang w:val="fr-FR"/>
              </w:rPr>
            </w:pPr>
            <w:r>
              <w:rPr>
                <w:lang w:val="fr-FR"/>
              </w:rPr>
              <w:t>Yves Peerboom</w:t>
            </w:r>
          </w:p>
        </w:tc>
        <w:tc>
          <w:tcPr>
            <w:tcW w:w="1620" w:type="dxa"/>
            <w:tcBorders>
              <w:top w:val="single" w:sz="4" w:space="0" w:color="7F7F7F"/>
              <w:left w:val="single" w:sz="4" w:space="0" w:color="7F7F7F"/>
              <w:bottom w:val="single" w:sz="4" w:space="0" w:color="7F7F7F"/>
              <w:right w:val="single" w:sz="4" w:space="0" w:color="7F7F7F"/>
            </w:tcBorders>
          </w:tcPr>
          <w:p w:rsidR="006A7A9D" w:rsidRDefault="006A7A9D" w:rsidP="002F05DD">
            <w:pPr>
              <w:pStyle w:val="TableCell"/>
              <w:rPr>
                <w:lang w:val="fr-FR"/>
              </w:rPr>
            </w:pPr>
            <w:r>
              <w:rPr>
                <w:lang w:val="fr-FR"/>
              </w:rPr>
              <w:t xml:space="preserve">  27/04/2021</w:t>
            </w:r>
          </w:p>
        </w:tc>
        <w:tc>
          <w:tcPr>
            <w:tcW w:w="1488" w:type="dxa"/>
            <w:tcBorders>
              <w:top w:val="single" w:sz="4" w:space="0" w:color="7F7F7F"/>
              <w:left w:val="single" w:sz="4" w:space="0" w:color="7F7F7F"/>
              <w:bottom w:val="single" w:sz="4" w:space="0" w:color="7F7F7F"/>
              <w:right w:val="single" w:sz="4" w:space="0" w:color="7F7F7F"/>
            </w:tcBorders>
          </w:tcPr>
          <w:p w:rsidR="006A7A9D" w:rsidRDefault="006A7A9D" w:rsidP="002F05DD">
            <w:pPr>
              <w:pStyle w:val="TableCell"/>
              <w:rPr>
                <w:lang w:val="fr-FR"/>
              </w:rPr>
            </w:pPr>
          </w:p>
        </w:tc>
        <w:tc>
          <w:tcPr>
            <w:tcW w:w="1701" w:type="dxa"/>
            <w:tcBorders>
              <w:top w:val="single" w:sz="4" w:space="0" w:color="7F7F7F"/>
              <w:left w:val="single" w:sz="4" w:space="0" w:color="7F7F7F"/>
              <w:bottom w:val="single" w:sz="4" w:space="0" w:color="7F7F7F"/>
              <w:right w:val="single" w:sz="4" w:space="0" w:color="7F7F7F"/>
            </w:tcBorders>
          </w:tcPr>
          <w:p w:rsidR="006A7A9D" w:rsidRDefault="006A7A9D" w:rsidP="002F05DD">
            <w:pPr>
              <w:pStyle w:val="TableCell"/>
              <w:rPr>
                <w:lang w:val="fr-FR"/>
              </w:rPr>
            </w:pPr>
          </w:p>
        </w:tc>
        <w:tc>
          <w:tcPr>
            <w:tcW w:w="1842" w:type="dxa"/>
            <w:tcBorders>
              <w:top w:val="single" w:sz="4" w:space="0" w:color="7F7F7F"/>
              <w:left w:val="single" w:sz="4" w:space="0" w:color="7F7F7F"/>
              <w:bottom w:val="single" w:sz="4" w:space="0" w:color="7F7F7F"/>
              <w:right w:val="single" w:sz="4" w:space="0" w:color="7F7F7F"/>
            </w:tcBorders>
          </w:tcPr>
          <w:p w:rsidR="006A7A9D" w:rsidRDefault="006A7A9D" w:rsidP="002F05DD">
            <w:pPr>
              <w:pStyle w:val="TableCell"/>
              <w:rPr>
                <w:lang w:val="fr-FR"/>
              </w:rPr>
            </w:pPr>
            <w:proofErr w:type="spellStart"/>
            <w:r>
              <w:rPr>
                <w:lang w:val="fr-FR"/>
              </w:rPr>
              <w:t>Ing</w:t>
            </w:r>
            <w:proofErr w:type="spellEnd"/>
            <w:r>
              <w:rPr>
                <w:lang w:val="fr-FR"/>
              </w:rPr>
              <w:t xml:space="preserve"> Y. Peerboom</w:t>
            </w:r>
            <w:r>
              <w:rPr>
                <w:lang w:val="fr-FR"/>
              </w:rPr>
              <w:br/>
              <w:t>27/04/2021</w:t>
            </w:r>
          </w:p>
        </w:tc>
      </w:tr>
      <w:tr w:rsidR="006A7A9D" w:rsidTr="002F05DD">
        <w:tc>
          <w:tcPr>
            <w:tcW w:w="1276" w:type="dxa"/>
            <w:tcBorders>
              <w:top w:val="single" w:sz="4" w:space="0" w:color="7F7F7F"/>
              <w:left w:val="single" w:sz="4" w:space="0" w:color="7F7F7F"/>
              <w:bottom w:val="single" w:sz="4" w:space="0" w:color="7F7F7F"/>
              <w:right w:val="single" w:sz="4" w:space="0" w:color="7F7F7F"/>
            </w:tcBorders>
          </w:tcPr>
          <w:p w:rsidR="006A7A9D" w:rsidRDefault="006A7A9D" w:rsidP="002F05DD">
            <w:pPr>
              <w:pStyle w:val="TableCell"/>
              <w:rPr>
                <w:lang w:val="fr-FR"/>
              </w:rPr>
            </w:pPr>
          </w:p>
          <w:p w:rsidR="006A7A9D" w:rsidRDefault="006A7A9D" w:rsidP="002F05DD">
            <w:pPr>
              <w:pStyle w:val="TableCell"/>
              <w:rPr>
                <w:lang w:val="fr-FR"/>
              </w:rPr>
            </w:pPr>
            <w:r>
              <w:rPr>
                <w:lang w:val="fr-FR"/>
              </w:rPr>
              <w:t>Adaptation</w:t>
            </w:r>
          </w:p>
        </w:tc>
        <w:tc>
          <w:tcPr>
            <w:tcW w:w="1712" w:type="dxa"/>
            <w:tcBorders>
              <w:top w:val="single" w:sz="4" w:space="0" w:color="7F7F7F"/>
              <w:left w:val="single" w:sz="4" w:space="0" w:color="7F7F7F"/>
              <w:bottom w:val="single" w:sz="4" w:space="0" w:color="7F7F7F"/>
              <w:right w:val="single" w:sz="4" w:space="0" w:color="7F7F7F"/>
            </w:tcBorders>
          </w:tcPr>
          <w:p w:rsidR="006A7A9D" w:rsidRDefault="006A7A9D" w:rsidP="002F05DD">
            <w:pPr>
              <w:pStyle w:val="TableCell"/>
              <w:rPr>
                <w:lang w:val="fr-FR"/>
              </w:rPr>
            </w:pPr>
          </w:p>
        </w:tc>
        <w:tc>
          <w:tcPr>
            <w:tcW w:w="1620" w:type="dxa"/>
            <w:tcBorders>
              <w:top w:val="single" w:sz="4" w:space="0" w:color="7F7F7F"/>
              <w:left w:val="single" w:sz="4" w:space="0" w:color="7F7F7F"/>
              <w:bottom w:val="single" w:sz="4" w:space="0" w:color="7F7F7F"/>
              <w:right w:val="single" w:sz="4" w:space="0" w:color="7F7F7F"/>
            </w:tcBorders>
          </w:tcPr>
          <w:p w:rsidR="006A7A9D" w:rsidRDefault="006A7A9D" w:rsidP="006A7A9D">
            <w:pPr>
              <w:pStyle w:val="TableCell"/>
              <w:rPr>
                <w:lang w:val="fr-FR"/>
              </w:rPr>
            </w:pPr>
            <w:r>
              <w:rPr>
                <w:lang w:val="fr-FR"/>
              </w:rPr>
              <w:t xml:space="preserve">  </w:t>
            </w:r>
          </w:p>
        </w:tc>
        <w:tc>
          <w:tcPr>
            <w:tcW w:w="1488" w:type="dxa"/>
            <w:tcBorders>
              <w:top w:val="single" w:sz="4" w:space="0" w:color="7F7F7F"/>
              <w:left w:val="single" w:sz="4" w:space="0" w:color="7F7F7F"/>
              <w:bottom w:val="single" w:sz="4" w:space="0" w:color="7F7F7F"/>
              <w:right w:val="single" w:sz="4" w:space="0" w:color="7F7F7F"/>
            </w:tcBorders>
          </w:tcPr>
          <w:p w:rsidR="006A7A9D" w:rsidRDefault="006A7A9D" w:rsidP="002F05DD">
            <w:pPr>
              <w:pStyle w:val="TableCell"/>
              <w:rPr>
                <w:lang w:val="fr-FR"/>
              </w:rPr>
            </w:pPr>
          </w:p>
        </w:tc>
        <w:tc>
          <w:tcPr>
            <w:tcW w:w="1701" w:type="dxa"/>
            <w:tcBorders>
              <w:top w:val="single" w:sz="4" w:space="0" w:color="7F7F7F"/>
              <w:left w:val="single" w:sz="4" w:space="0" w:color="7F7F7F"/>
              <w:bottom w:val="single" w:sz="4" w:space="0" w:color="7F7F7F"/>
              <w:right w:val="single" w:sz="4" w:space="0" w:color="7F7F7F"/>
            </w:tcBorders>
          </w:tcPr>
          <w:p w:rsidR="006A7A9D" w:rsidRDefault="006A7A9D" w:rsidP="002F05DD">
            <w:pPr>
              <w:pStyle w:val="TableCell"/>
              <w:rPr>
                <w:lang w:val="fr-FR"/>
              </w:rPr>
            </w:pPr>
          </w:p>
        </w:tc>
        <w:tc>
          <w:tcPr>
            <w:tcW w:w="1842" w:type="dxa"/>
            <w:tcBorders>
              <w:top w:val="single" w:sz="4" w:space="0" w:color="7F7F7F"/>
              <w:left w:val="single" w:sz="4" w:space="0" w:color="7F7F7F"/>
              <w:bottom w:val="single" w:sz="4" w:space="0" w:color="7F7F7F"/>
              <w:right w:val="single" w:sz="4" w:space="0" w:color="7F7F7F"/>
            </w:tcBorders>
          </w:tcPr>
          <w:p w:rsidR="006A7A9D" w:rsidRDefault="006A7A9D" w:rsidP="002F05DD">
            <w:pPr>
              <w:pStyle w:val="TableCell"/>
              <w:rPr>
                <w:lang w:val="fr-FR"/>
              </w:rPr>
            </w:pPr>
          </w:p>
        </w:tc>
      </w:tr>
      <w:tr w:rsidR="006A7A9D" w:rsidTr="002F05DD">
        <w:tc>
          <w:tcPr>
            <w:tcW w:w="1276" w:type="dxa"/>
            <w:tcBorders>
              <w:top w:val="single" w:sz="4" w:space="0" w:color="7F7F7F"/>
              <w:left w:val="single" w:sz="4" w:space="0" w:color="7F7F7F"/>
              <w:bottom w:val="single" w:sz="4" w:space="0" w:color="7F7F7F"/>
              <w:right w:val="single" w:sz="4" w:space="0" w:color="7F7F7F"/>
            </w:tcBorders>
          </w:tcPr>
          <w:p w:rsidR="006A7A9D" w:rsidRDefault="006A7A9D" w:rsidP="002F05DD">
            <w:pPr>
              <w:pStyle w:val="TableCell"/>
              <w:rPr>
                <w:lang w:val="fr-FR"/>
              </w:rPr>
            </w:pPr>
          </w:p>
          <w:p w:rsidR="006A7A9D" w:rsidRDefault="006A7A9D" w:rsidP="002F05DD">
            <w:pPr>
              <w:pStyle w:val="TableCell"/>
              <w:rPr>
                <w:lang w:val="fr-FR"/>
              </w:rPr>
            </w:pPr>
            <w:r>
              <w:rPr>
                <w:lang w:val="fr-FR"/>
              </w:rPr>
              <w:t>Adaptation</w:t>
            </w:r>
          </w:p>
        </w:tc>
        <w:tc>
          <w:tcPr>
            <w:tcW w:w="1712" w:type="dxa"/>
            <w:tcBorders>
              <w:top w:val="single" w:sz="4" w:space="0" w:color="7F7F7F"/>
              <w:left w:val="single" w:sz="4" w:space="0" w:color="7F7F7F"/>
              <w:bottom w:val="single" w:sz="4" w:space="0" w:color="7F7F7F"/>
              <w:right w:val="single" w:sz="4" w:space="0" w:color="7F7F7F"/>
            </w:tcBorders>
          </w:tcPr>
          <w:p w:rsidR="006A7A9D" w:rsidRDefault="006A7A9D" w:rsidP="002F05DD">
            <w:pPr>
              <w:pStyle w:val="TableCell"/>
              <w:rPr>
                <w:lang w:val="fr-FR"/>
              </w:rPr>
            </w:pPr>
          </w:p>
        </w:tc>
        <w:tc>
          <w:tcPr>
            <w:tcW w:w="1620" w:type="dxa"/>
            <w:tcBorders>
              <w:top w:val="single" w:sz="4" w:space="0" w:color="7F7F7F"/>
              <w:left w:val="single" w:sz="4" w:space="0" w:color="7F7F7F"/>
              <w:bottom w:val="single" w:sz="4" w:space="0" w:color="7F7F7F"/>
              <w:right w:val="single" w:sz="4" w:space="0" w:color="7F7F7F"/>
            </w:tcBorders>
          </w:tcPr>
          <w:p w:rsidR="006A7A9D" w:rsidRDefault="006A7A9D" w:rsidP="002F05DD">
            <w:pPr>
              <w:pStyle w:val="TableCell"/>
              <w:rPr>
                <w:lang w:val="fr-FR"/>
              </w:rPr>
            </w:pPr>
          </w:p>
        </w:tc>
        <w:tc>
          <w:tcPr>
            <w:tcW w:w="1488" w:type="dxa"/>
            <w:tcBorders>
              <w:top w:val="single" w:sz="4" w:space="0" w:color="7F7F7F"/>
              <w:left w:val="single" w:sz="4" w:space="0" w:color="7F7F7F"/>
              <w:bottom w:val="single" w:sz="4" w:space="0" w:color="7F7F7F"/>
              <w:right w:val="single" w:sz="4" w:space="0" w:color="7F7F7F"/>
            </w:tcBorders>
          </w:tcPr>
          <w:p w:rsidR="006A7A9D" w:rsidRDefault="006A7A9D" w:rsidP="002F05DD">
            <w:pPr>
              <w:pStyle w:val="TableCell"/>
              <w:rPr>
                <w:lang w:val="fr-FR"/>
              </w:rPr>
            </w:pPr>
          </w:p>
        </w:tc>
        <w:tc>
          <w:tcPr>
            <w:tcW w:w="1701" w:type="dxa"/>
            <w:tcBorders>
              <w:top w:val="single" w:sz="4" w:space="0" w:color="7F7F7F"/>
              <w:left w:val="single" w:sz="4" w:space="0" w:color="7F7F7F"/>
              <w:bottom w:val="single" w:sz="4" w:space="0" w:color="7F7F7F"/>
              <w:right w:val="single" w:sz="4" w:space="0" w:color="7F7F7F"/>
            </w:tcBorders>
          </w:tcPr>
          <w:p w:rsidR="006A7A9D" w:rsidRDefault="006A7A9D" w:rsidP="002F05DD">
            <w:pPr>
              <w:pStyle w:val="TableCell"/>
              <w:rPr>
                <w:lang w:val="fr-FR"/>
              </w:rPr>
            </w:pPr>
          </w:p>
        </w:tc>
        <w:tc>
          <w:tcPr>
            <w:tcW w:w="1842" w:type="dxa"/>
            <w:tcBorders>
              <w:top w:val="single" w:sz="4" w:space="0" w:color="7F7F7F"/>
              <w:left w:val="single" w:sz="4" w:space="0" w:color="7F7F7F"/>
              <w:bottom w:val="single" w:sz="4" w:space="0" w:color="7F7F7F"/>
              <w:right w:val="single" w:sz="4" w:space="0" w:color="7F7F7F"/>
            </w:tcBorders>
          </w:tcPr>
          <w:p w:rsidR="006A7A9D" w:rsidRDefault="006A7A9D" w:rsidP="002F05DD">
            <w:pPr>
              <w:pStyle w:val="TableCell"/>
              <w:rPr>
                <w:lang w:val="fr-FR"/>
              </w:rPr>
            </w:pPr>
          </w:p>
        </w:tc>
      </w:tr>
    </w:tbl>
    <w:p w:rsidR="006A7A9D" w:rsidRDefault="006A7A9D" w:rsidP="006A7A9D">
      <w:pPr>
        <w:rPr>
          <w:rFonts w:ascii="Arial" w:hAnsi="Arial" w:cs="Arial"/>
          <w:lang w:val="fr-FR"/>
        </w:rPr>
      </w:pPr>
    </w:p>
    <w:p w:rsidR="001745E5" w:rsidRDefault="001745E5" w:rsidP="001745E5">
      <w:pPr>
        <w:pStyle w:val="Titre"/>
        <w:rPr>
          <w:bCs/>
        </w:rPr>
      </w:pPr>
    </w:p>
    <w:p w:rsidR="001745E5" w:rsidRPr="008D66B3" w:rsidRDefault="006A7A9D" w:rsidP="008D66B3">
      <w:pPr>
        <w:pStyle w:val="Titre1"/>
        <w:numPr>
          <w:ilvl w:val="0"/>
          <w:numId w:val="18"/>
        </w:numPr>
        <w:jc w:val="left"/>
        <w:rPr>
          <w:rFonts w:asciiTheme="majorHAnsi" w:hAnsiTheme="majorHAnsi"/>
          <w:color w:val="auto"/>
        </w:rPr>
      </w:pPr>
      <w:bookmarkStart w:id="2" w:name="_Toc70948780"/>
      <w:r w:rsidRPr="008D66B3">
        <w:rPr>
          <w:rFonts w:asciiTheme="majorHAnsi" w:hAnsiTheme="majorHAnsi"/>
          <w:color w:val="auto"/>
        </w:rPr>
        <w:t>Table des matières</w:t>
      </w:r>
      <w:bookmarkEnd w:id="2"/>
    </w:p>
    <w:p w:rsidR="008D66B3" w:rsidRDefault="008D66B3" w:rsidP="008D66B3"/>
    <w:sdt>
      <w:sdtPr>
        <w:rPr>
          <w:rFonts w:ascii="Times New Roman" w:eastAsia="Times New Roman" w:hAnsi="Times New Roman" w:cs="Times New Roman"/>
          <w:b w:val="0"/>
          <w:bCs w:val="0"/>
          <w:color w:val="auto"/>
          <w:sz w:val="24"/>
          <w:szCs w:val="24"/>
          <w:lang w:val="fr-BE" w:eastAsia="fr-BE"/>
        </w:rPr>
        <w:id w:val="20387225"/>
        <w:docPartObj>
          <w:docPartGallery w:val="Table of Contents"/>
          <w:docPartUnique/>
        </w:docPartObj>
      </w:sdtPr>
      <w:sdtContent>
        <w:p w:rsidR="008D66B3" w:rsidRDefault="008D66B3">
          <w:pPr>
            <w:pStyle w:val="En-ttedetabledesmatires"/>
          </w:pPr>
        </w:p>
        <w:p w:rsidR="003B1DED" w:rsidRDefault="00640930">
          <w:pPr>
            <w:pStyle w:val="TM1"/>
            <w:tabs>
              <w:tab w:val="left" w:pos="440"/>
              <w:tab w:val="right" w:leader="dot" w:pos="9016"/>
            </w:tabs>
            <w:rPr>
              <w:rFonts w:asciiTheme="minorHAnsi" w:eastAsiaTheme="minorEastAsia" w:hAnsiTheme="minorHAnsi" w:cstheme="minorBidi"/>
              <w:noProof/>
              <w:sz w:val="22"/>
              <w:szCs w:val="22"/>
              <w:lang w:val="en-GB" w:eastAsia="en-GB"/>
            </w:rPr>
          </w:pPr>
          <w:r>
            <w:rPr>
              <w:lang w:val="fr-FR"/>
            </w:rPr>
            <w:fldChar w:fldCharType="begin"/>
          </w:r>
          <w:r w:rsidR="008D66B3">
            <w:rPr>
              <w:lang w:val="fr-FR"/>
            </w:rPr>
            <w:instrText xml:space="preserve"> TOC \o "1-3" \h \z \u </w:instrText>
          </w:r>
          <w:r>
            <w:rPr>
              <w:lang w:val="fr-FR"/>
            </w:rPr>
            <w:fldChar w:fldCharType="separate"/>
          </w:r>
          <w:hyperlink w:anchor="_Toc70948779" w:history="1">
            <w:r w:rsidR="003B1DED" w:rsidRPr="00D4208F">
              <w:rPr>
                <w:rStyle w:val="Lienhypertexte"/>
                <w:rFonts w:ascii="Calibri" w:hAnsi="Calibri"/>
                <w:noProof/>
              </w:rPr>
              <w:t>1)</w:t>
            </w:r>
            <w:r w:rsidR="003B1DED">
              <w:rPr>
                <w:rFonts w:asciiTheme="minorHAnsi" w:eastAsiaTheme="minorEastAsia" w:hAnsiTheme="minorHAnsi" w:cstheme="minorBidi"/>
                <w:noProof/>
                <w:sz w:val="22"/>
                <w:szCs w:val="22"/>
                <w:lang w:val="en-GB" w:eastAsia="en-GB"/>
              </w:rPr>
              <w:tab/>
            </w:r>
            <w:r w:rsidR="003B1DED" w:rsidRPr="00D4208F">
              <w:rPr>
                <w:rStyle w:val="Lienhypertexte"/>
                <w:rFonts w:ascii="Calibri" w:hAnsi="Calibri"/>
                <w:noProof/>
              </w:rPr>
              <w:t>Historique et processus d’approbation</w:t>
            </w:r>
            <w:r w:rsidR="003B1DED">
              <w:rPr>
                <w:noProof/>
                <w:webHidden/>
              </w:rPr>
              <w:tab/>
            </w:r>
            <w:r>
              <w:rPr>
                <w:noProof/>
                <w:webHidden/>
              </w:rPr>
              <w:fldChar w:fldCharType="begin"/>
            </w:r>
            <w:r w:rsidR="003B1DED">
              <w:rPr>
                <w:noProof/>
                <w:webHidden/>
              </w:rPr>
              <w:instrText xml:space="preserve"> PAGEREF _Toc70948779 \h </w:instrText>
            </w:r>
            <w:r>
              <w:rPr>
                <w:noProof/>
                <w:webHidden/>
              </w:rPr>
            </w:r>
            <w:r>
              <w:rPr>
                <w:noProof/>
                <w:webHidden/>
              </w:rPr>
              <w:fldChar w:fldCharType="separate"/>
            </w:r>
            <w:r w:rsidR="003B1DED">
              <w:rPr>
                <w:noProof/>
                <w:webHidden/>
              </w:rPr>
              <w:t>1</w:t>
            </w:r>
            <w:r>
              <w:rPr>
                <w:noProof/>
                <w:webHidden/>
              </w:rPr>
              <w:fldChar w:fldCharType="end"/>
            </w:r>
          </w:hyperlink>
        </w:p>
        <w:p w:rsidR="003B1DED" w:rsidRDefault="00640930">
          <w:pPr>
            <w:pStyle w:val="TM1"/>
            <w:tabs>
              <w:tab w:val="left" w:pos="660"/>
              <w:tab w:val="right" w:leader="dot" w:pos="9016"/>
            </w:tabs>
            <w:rPr>
              <w:rFonts w:asciiTheme="minorHAnsi" w:eastAsiaTheme="minorEastAsia" w:hAnsiTheme="minorHAnsi" w:cstheme="minorBidi"/>
              <w:noProof/>
              <w:sz w:val="22"/>
              <w:szCs w:val="22"/>
              <w:lang w:val="en-GB" w:eastAsia="en-GB"/>
            </w:rPr>
          </w:pPr>
          <w:hyperlink w:anchor="_Toc70948780" w:history="1">
            <w:r w:rsidR="003B1DED" w:rsidRPr="00D4208F">
              <w:rPr>
                <w:rStyle w:val="Lienhypertexte"/>
                <w:rFonts w:asciiTheme="majorHAnsi" w:hAnsiTheme="majorHAnsi"/>
                <w:noProof/>
              </w:rPr>
              <w:t>2)</w:t>
            </w:r>
            <w:r w:rsidR="003B1DED">
              <w:rPr>
                <w:rFonts w:asciiTheme="minorHAnsi" w:eastAsiaTheme="minorEastAsia" w:hAnsiTheme="minorHAnsi" w:cstheme="minorBidi"/>
                <w:noProof/>
                <w:sz w:val="22"/>
                <w:szCs w:val="22"/>
                <w:lang w:val="en-GB" w:eastAsia="en-GB"/>
              </w:rPr>
              <w:tab/>
            </w:r>
            <w:r w:rsidR="003B1DED" w:rsidRPr="00D4208F">
              <w:rPr>
                <w:rStyle w:val="Lienhypertexte"/>
                <w:rFonts w:asciiTheme="majorHAnsi" w:hAnsiTheme="majorHAnsi"/>
                <w:noProof/>
              </w:rPr>
              <w:t>Table des matières</w:t>
            </w:r>
            <w:r w:rsidR="003B1DED">
              <w:rPr>
                <w:noProof/>
                <w:webHidden/>
              </w:rPr>
              <w:tab/>
            </w:r>
            <w:r>
              <w:rPr>
                <w:noProof/>
                <w:webHidden/>
              </w:rPr>
              <w:fldChar w:fldCharType="begin"/>
            </w:r>
            <w:r w:rsidR="003B1DED">
              <w:rPr>
                <w:noProof/>
                <w:webHidden/>
              </w:rPr>
              <w:instrText xml:space="preserve"> PAGEREF _Toc70948780 \h </w:instrText>
            </w:r>
            <w:r>
              <w:rPr>
                <w:noProof/>
                <w:webHidden/>
              </w:rPr>
            </w:r>
            <w:r>
              <w:rPr>
                <w:noProof/>
                <w:webHidden/>
              </w:rPr>
              <w:fldChar w:fldCharType="separate"/>
            </w:r>
            <w:r w:rsidR="003B1DED">
              <w:rPr>
                <w:noProof/>
                <w:webHidden/>
              </w:rPr>
              <w:t>1</w:t>
            </w:r>
            <w:r>
              <w:rPr>
                <w:noProof/>
                <w:webHidden/>
              </w:rPr>
              <w:fldChar w:fldCharType="end"/>
            </w:r>
          </w:hyperlink>
        </w:p>
        <w:p w:rsidR="003B1DED" w:rsidRDefault="00640930">
          <w:pPr>
            <w:pStyle w:val="TM1"/>
            <w:tabs>
              <w:tab w:val="left" w:pos="440"/>
              <w:tab w:val="right" w:leader="dot" w:pos="9016"/>
            </w:tabs>
            <w:rPr>
              <w:rFonts w:asciiTheme="minorHAnsi" w:eastAsiaTheme="minorEastAsia" w:hAnsiTheme="minorHAnsi" w:cstheme="minorBidi"/>
              <w:noProof/>
              <w:sz w:val="22"/>
              <w:szCs w:val="22"/>
              <w:lang w:val="en-GB" w:eastAsia="en-GB"/>
            </w:rPr>
          </w:pPr>
          <w:hyperlink w:anchor="_Toc70948781" w:history="1">
            <w:r w:rsidR="003B1DED" w:rsidRPr="00D4208F">
              <w:rPr>
                <w:rStyle w:val="Lienhypertexte"/>
                <w:rFonts w:ascii="Calibri" w:hAnsi="Calibri"/>
                <w:noProof/>
              </w:rPr>
              <w:t>3)</w:t>
            </w:r>
            <w:r w:rsidR="003B1DED">
              <w:rPr>
                <w:rFonts w:asciiTheme="minorHAnsi" w:eastAsiaTheme="minorEastAsia" w:hAnsiTheme="minorHAnsi" w:cstheme="minorBidi"/>
                <w:noProof/>
                <w:sz w:val="22"/>
                <w:szCs w:val="22"/>
                <w:lang w:val="en-GB" w:eastAsia="en-GB"/>
              </w:rPr>
              <w:tab/>
            </w:r>
            <w:r w:rsidR="003B1DED" w:rsidRPr="00D4208F">
              <w:rPr>
                <w:rStyle w:val="Lienhypertexte"/>
                <w:rFonts w:ascii="Calibri" w:hAnsi="Calibri"/>
                <w:noProof/>
              </w:rPr>
              <w:t>Champs d’application</w:t>
            </w:r>
            <w:r w:rsidR="003B1DED">
              <w:rPr>
                <w:noProof/>
                <w:webHidden/>
              </w:rPr>
              <w:tab/>
            </w:r>
            <w:r>
              <w:rPr>
                <w:noProof/>
                <w:webHidden/>
              </w:rPr>
              <w:fldChar w:fldCharType="begin"/>
            </w:r>
            <w:r w:rsidR="003B1DED">
              <w:rPr>
                <w:noProof/>
                <w:webHidden/>
              </w:rPr>
              <w:instrText xml:space="preserve"> PAGEREF _Toc70948781 \h </w:instrText>
            </w:r>
            <w:r>
              <w:rPr>
                <w:noProof/>
                <w:webHidden/>
              </w:rPr>
            </w:r>
            <w:r>
              <w:rPr>
                <w:noProof/>
                <w:webHidden/>
              </w:rPr>
              <w:fldChar w:fldCharType="separate"/>
            </w:r>
            <w:r w:rsidR="003B1DED">
              <w:rPr>
                <w:noProof/>
                <w:webHidden/>
              </w:rPr>
              <w:t>2</w:t>
            </w:r>
            <w:r>
              <w:rPr>
                <w:noProof/>
                <w:webHidden/>
              </w:rPr>
              <w:fldChar w:fldCharType="end"/>
            </w:r>
          </w:hyperlink>
        </w:p>
        <w:p w:rsidR="003B1DED" w:rsidRDefault="00640930">
          <w:pPr>
            <w:pStyle w:val="TM1"/>
            <w:tabs>
              <w:tab w:val="left" w:pos="440"/>
              <w:tab w:val="right" w:leader="dot" w:pos="9016"/>
            </w:tabs>
            <w:rPr>
              <w:rFonts w:asciiTheme="minorHAnsi" w:eastAsiaTheme="minorEastAsia" w:hAnsiTheme="minorHAnsi" w:cstheme="minorBidi"/>
              <w:noProof/>
              <w:sz w:val="22"/>
              <w:szCs w:val="22"/>
              <w:lang w:val="en-GB" w:eastAsia="en-GB"/>
            </w:rPr>
          </w:pPr>
          <w:hyperlink w:anchor="_Toc70948782" w:history="1">
            <w:r w:rsidR="003B1DED" w:rsidRPr="00D4208F">
              <w:rPr>
                <w:rStyle w:val="Lienhypertexte"/>
                <w:noProof/>
              </w:rPr>
              <w:t>4)</w:t>
            </w:r>
            <w:r w:rsidR="003B1DED">
              <w:rPr>
                <w:rFonts w:asciiTheme="minorHAnsi" w:eastAsiaTheme="minorEastAsia" w:hAnsiTheme="minorHAnsi" w:cstheme="minorBidi"/>
                <w:noProof/>
                <w:sz w:val="22"/>
                <w:szCs w:val="22"/>
                <w:lang w:val="en-GB" w:eastAsia="en-GB"/>
              </w:rPr>
              <w:tab/>
            </w:r>
            <w:r w:rsidR="003B1DED" w:rsidRPr="00D4208F">
              <w:rPr>
                <w:rStyle w:val="Lienhypertexte"/>
                <w:noProof/>
              </w:rPr>
              <w:t>Inventaire du matériel</w:t>
            </w:r>
            <w:r w:rsidR="003B1DED">
              <w:rPr>
                <w:noProof/>
                <w:webHidden/>
              </w:rPr>
              <w:tab/>
            </w:r>
            <w:r>
              <w:rPr>
                <w:noProof/>
                <w:webHidden/>
              </w:rPr>
              <w:fldChar w:fldCharType="begin"/>
            </w:r>
            <w:r w:rsidR="003B1DED">
              <w:rPr>
                <w:noProof/>
                <w:webHidden/>
              </w:rPr>
              <w:instrText xml:space="preserve"> PAGEREF _Toc70948782 \h </w:instrText>
            </w:r>
            <w:r>
              <w:rPr>
                <w:noProof/>
                <w:webHidden/>
              </w:rPr>
            </w:r>
            <w:r>
              <w:rPr>
                <w:noProof/>
                <w:webHidden/>
              </w:rPr>
              <w:fldChar w:fldCharType="separate"/>
            </w:r>
            <w:r w:rsidR="003B1DED">
              <w:rPr>
                <w:noProof/>
                <w:webHidden/>
              </w:rPr>
              <w:t>2</w:t>
            </w:r>
            <w:r>
              <w:rPr>
                <w:noProof/>
                <w:webHidden/>
              </w:rPr>
              <w:fldChar w:fldCharType="end"/>
            </w:r>
          </w:hyperlink>
        </w:p>
        <w:p w:rsidR="003B1DED" w:rsidRDefault="00640930">
          <w:pPr>
            <w:pStyle w:val="TM1"/>
            <w:tabs>
              <w:tab w:val="left" w:pos="440"/>
              <w:tab w:val="right" w:leader="dot" w:pos="9016"/>
            </w:tabs>
            <w:rPr>
              <w:rFonts w:asciiTheme="minorHAnsi" w:eastAsiaTheme="minorEastAsia" w:hAnsiTheme="minorHAnsi" w:cstheme="minorBidi"/>
              <w:noProof/>
              <w:sz w:val="22"/>
              <w:szCs w:val="22"/>
              <w:lang w:val="en-GB" w:eastAsia="en-GB"/>
            </w:rPr>
          </w:pPr>
          <w:hyperlink w:anchor="_Toc70948783" w:history="1">
            <w:r w:rsidR="003B1DED" w:rsidRPr="00D4208F">
              <w:rPr>
                <w:rStyle w:val="Lienhypertexte"/>
                <w:noProof/>
              </w:rPr>
              <w:t>5)</w:t>
            </w:r>
            <w:r w:rsidR="003B1DED">
              <w:rPr>
                <w:rFonts w:asciiTheme="minorHAnsi" w:eastAsiaTheme="minorEastAsia" w:hAnsiTheme="minorHAnsi" w:cstheme="minorBidi"/>
                <w:noProof/>
                <w:sz w:val="22"/>
                <w:szCs w:val="22"/>
                <w:lang w:val="en-GB" w:eastAsia="en-GB"/>
              </w:rPr>
              <w:tab/>
            </w:r>
            <w:r w:rsidR="003B1DED" w:rsidRPr="00D4208F">
              <w:rPr>
                <w:rStyle w:val="Lienhypertexte"/>
                <w:noProof/>
              </w:rPr>
              <w:t>Principe de fonctionnement</w:t>
            </w:r>
            <w:r w:rsidR="003B1DED">
              <w:rPr>
                <w:noProof/>
                <w:webHidden/>
              </w:rPr>
              <w:tab/>
            </w:r>
            <w:r>
              <w:rPr>
                <w:noProof/>
                <w:webHidden/>
              </w:rPr>
              <w:fldChar w:fldCharType="begin"/>
            </w:r>
            <w:r w:rsidR="003B1DED">
              <w:rPr>
                <w:noProof/>
                <w:webHidden/>
              </w:rPr>
              <w:instrText xml:space="preserve"> PAGEREF _Toc70948783 \h </w:instrText>
            </w:r>
            <w:r>
              <w:rPr>
                <w:noProof/>
                <w:webHidden/>
              </w:rPr>
            </w:r>
            <w:r>
              <w:rPr>
                <w:noProof/>
                <w:webHidden/>
              </w:rPr>
              <w:fldChar w:fldCharType="separate"/>
            </w:r>
            <w:r w:rsidR="003B1DED">
              <w:rPr>
                <w:noProof/>
                <w:webHidden/>
              </w:rPr>
              <w:t>2</w:t>
            </w:r>
            <w:r>
              <w:rPr>
                <w:noProof/>
                <w:webHidden/>
              </w:rPr>
              <w:fldChar w:fldCharType="end"/>
            </w:r>
          </w:hyperlink>
        </w:p>
        <w:p w:rsidR="003B1DED" w:rsidRDefault="00640930">
          <w:pPr>
            <w:pStyle w:val="TM1"/>
            <w:tabs>
              <w:tab w:val="left" w:pos="440"/>
              <w:tab w:val="right" w:leader="dot" w:pos="9016"/>
            </w:tabs>
            <w:rPr>
              <w:rFonts w:asciiTheme="minorHAnsi" w:eastAsiaTheme="minorEastAsia" w:hAnsiTheme="minorHAnsi" w:cstheme="minorBidi"/>
              <w:noProof/>
              <w:sz w:val="22"/>
              <w:szCs w:val="22"/>
              <w:lang w:val="en-GB" w:eastAsia="en-GB"/>
            </w:rPr>
          </w:pPr>
          <w:hyperlink w:anchor="_Toc70948784" w:history="1">
            <w:r w:rsidR="003B1DED" w:rsidRPr="00D4208F">
              <w:rPr>
                <w:rStyle w:val="Lienhypertexte"/>
                <w:noProof/>
              </w:rPr>
              <w:t>6)</w:t>
            </w:r>
            <w:r w:rsidR="003B1DED">
              <w:rPr>
                <w:rFonts w:asciiTheme="minorHAnsi" w:eastAsiaTheme="minorEastAsia" w:hAnsiTheme="minorHAnsi" w:cstheme="minorBidi"/>
                <w:noProof/>
                <w:sz w:val="22"/>
                <w:szCs w:val="22"/>
                <w:lang w:val="en-GB" w:eastAsia="en-GB"/>
              </w:rPr>
              <w:tab/>
            </w:r>
            <w:r w:rsidR="003B1DED" w:rsidRPr="00D4208F">
              <w:rPr>
                <w:rStyle w:val="Lienhypertexte"/>
                <w:noProof/>
              </w:rPr>
              <w:t>Calibration / Inter-comparaison</w:t>
            </w:r>
            <w:r w:rsidR="003B1DED">
              <w:rPr>
                <w:noProof/>
                <w:webHidden/>
              </w:rPr>
              <w:tab/>
            </w:r>
            <w:r>
              <w:rPr>
                <w:noProof/>
                <w:webHidden/>
              </w:rPr>
              <w:fldChar w:fldCharType="begin"/>
            </w:r>
            <w:r w:rsidR="003B1DED">
              <w:rPr>
                <w:noProof/>
                <w:webHidden/>
              </w:rPr>
              <w:instrText xml:space="preserve"> PAGEREF _Toc70948784 \h </w:instrText>
            </w:r>
            <w:r>
              <w:rPr>
                <w:noProof/>
                <w:webHidden/>
              </w:rPr>
            </w:r>
            <w:r>
              <w:rPr>
                <w:noProof/>
                <w:webHidden/>
              </w:rPr>
              <w:fldChar w:fldCharType="separate"/>
            </w:r>
            <w:r w:rsidR="003B1DED">
              <w:rPr>
                <w:noProof/>
                <w:webHidden/>
              </w:rPr>
              <w:t>5</w:t>
            </w:r>
            <w:r>
              <w:rPr>
                <w:noProof/>
                <w:webHidden/>
              </w:rPr>
              <w:fldChar w:fldCharType="end"/>
            </w:r>
          </w:hyperlink>
        </w:p>
        <w:p w:rsidR="003B1DED" w:rsidRDefault="00640930">
          <w:pPr>
            <w:pStyle w:val="TM1"/>
            <w:tabs>
              <w:tab w:val="left" w:pos="440"/>
              <w:tab w:val="right" w:leader="dot" w:pos="9016"/>
            </w:tabs>
            <w:rPr>
              <w:rFonts w:asciiTheme="minorHAnsi" w:eastAsiaTheme="minorEastAsia" w:hAnsiTheme="minorHAnsi" w:cstheme="minorBidi"/>
              <w:noProof/>
              <w:sz w:val="22"/>
              <w:szCs w:val="22"/>
              <w:lang w:val="en-GB" w:eastAsia="en-GB"/>
            </w:rPr>
          </w:pPr>
          <w:hyperlink w:anchor="_Toc70948785" w:history="1">
            <w:r w:rsidR="003B1DED" w:rsidRPr="00D4208F">
              <w:rPr>
                <w:rStyle w:val="Lienhypertexte"/>
                <w:noProof/>
              </w:rPr>
              <w:t>7)</w:t>
            </w:r>
            <w:r w:rsidR="003B1DED">
              <w:rPr>
                <w:rFonts w:asciiTheme="minorHAnsi" w:eastAsiaTheme="minorEastAsia" w:hAnsiTheme="minorHAnsi" w:cstheme="minorBidi"/>
                <w:noProof/>
                <w:sz w:val="22"/>
                <w:szCs w:val="22"/>
                <w:lang w:val="en-GB" w:eastAsia="en-GB"/>
              </w:rPr>
              <w:tab/>
            </w:r>
            <w:r w:rsidR="003B1DED" w:rsidRPr="00D4208F">
              <w:rPr>
                <w:rStyle w:val="Lienhypertexte"/>
                <w:noProof/>
              </w:rPr>
              <w:t>Utilisation</w:t>
            </w:r>
            <w:r w:rsidR="003B1DED">
              <w:rPr>
                <w:noProof/>
                <w:webHidden/>
              </w:rPr>
              <w:tab/>
            </w:r>
            <w:r>
              <w:rPr>
                <w:noProof/>
                <w:webHidden/>
              </w:rPr>
              <w:fldChar w:fldCharType="begin"/>
            </w:r>
            <w:r w:rsidR="003B1DED">
              <w:rPr>
                <w:noProof/>
                <w:webHidden/>
              </w:rPr>
              <w:instrText xml:space="preserve"> PAGEREF _Toc70948785 \h </w:instrText>
            </w:r>
            <w:r>
              <w:rPr>
                <w:noProof/>
                <w:webHidden/>
              </w:rPr>
            </w:r>
            <w:r>
              <w:rPr>
                <w:noProof/>
                <w:webHidden/>
              </w:rPr>
              <w:fldChar w:fldCharType="separate"/>
            </w:r>
            <w:r w:rsidR="003B1DED">
              <w:rPr>
                <w:noProof/>
                <w:webHidden/>
              </w:rPr>
              <w:t>5</w:t>
            </w:r>
            <w:r>
              <w:rPr>
                <w:noProof/>
                <w:webHidden/>
              </w:rPr>
              <w:fldChar w:fldCharType="end"/>
            </w:r>
          </w:hyperlink>
        </w:p>
        <w:p w:rsidR="003B1DED" w:rsidRDefault="00640930">
          <w:pPr>
            <w:pStyle w:val="TM1"/>
            <w:tabs>
              <w:tab w:val="left" w:pos="440"/>
              <w:tab w:val="right" w:leader="dot" w:pos="9016"/>
            </w:tabs>
            <w:rPr>
              <w:rFonts w:asciiTheme="minorHAnsi" w:eastAsiaTheme="minorEastAsia" w:hAnsiTheme="minorHAnsi" w:cstheme="minorBidi"/>
              <w:noProof/>
              <w:sz w:val="22"/>
              <w:szCs w:val="22"/>
              <w:lang w:val="en-GB" w:eastAsia="en-GB"/>
            </w:rPr>
          </w:pPr>
          <w:hyperlink w:anchor="_Toc70948786" w:history="1">
            <w:r w:rsidR="003B1DED" w:rsidRPr="00D4208F">
              <w:rPr>
                <w:rStyle w:val="Lienhypertexte"/>
                <w:noProof/>
              </w:rPr>
              <w:t>a)</w:t>
            </w:r>
            <w:r w:rsidR="003B1DED">
              <w:rPr>
                <w:rFonts w:asciiTheme="minorHAnsi" w:eastAsiaTheme="minorEastAsia" w:hAnsiTheme="minorHAnsi" w:cstheme="minorBidi"/>
                <w:noProof/>
                <w:sz w:val="22"/>
                <w:szCs w:val="22"/>
                <w:lang w:val="en-GB" w:eastAsia="en-GB"/>
              </w:rPr>
              <w:tab/>
            </w:r>
            <w:r w:rsidR="003B1DED" w:rsidRPr="00D4208F">
              <w:rPr>
                <w:rStyle w:val="Lienhypertexte"/>
                <w:noProof/>
              </w:rPr>
              <w:t>Contaminamètre Mini 900</w:t>
            </w:r>
            <w:r w:rsidR="003B1DED">
              <w:rPr>
                <w:noProof/>
                <w:webHidden/>
              </w:rPr>
              <w:tab/>
            </w:r>
            <w:r>
              <w:rPr>
                <w:noProof/>
                <w:webHidden/>
              </w:rPr>
              <w:fldChar w:fldCharType="begin"/>
            </w:r>
            <w:r w:rsidR="003B1DED">
              <w:rPr>
                <w:noProof/>
                <w:webHidden/>
              </w:rPr>
              <w:instrText xml:space="preserve"> PAGEREF _Toc70948786 \h </w:instrText>
            </w:r>
            <w:r>
              <w:rPr>
                <w:noProof/>
                <w:webHidden/>
              </w:rPr>
            </w:r>
            <w:r>
              <w:rPr>
                <w:noProof/>
                <w:webHidden/>
              </w:rPr>
              <w:fldChar w:fldCharType="separate"/>
            </w:r>
            <w:r w:rsidR="003B1DED">
              <w:rPr>
                <w:noProof/>
                <w:webHidden/>
              </w:rPr>
              <w:t>5</w:t>
            </w:r>
            <w:r>
              <w:rPr>
                <w:noProof/>
                <w:webHidden/>
              </w:rPr>
              <w:fldChar w:fldCharType="end"/>
            </w:r>
          </w:hyperlink>
        </w:p>
        <w:p w:rsidR="003B1DED" w:rsidRDefault="00640930">
          <w:pPr>
            <w:pStyle w:val="TM1"/>
            <w:tabs>
              <w:tab w:val="left" w:pos="440"/>
              <w:tab w:val="right" w:leader="dot" w:pos="9016"/>
            </w:tabs>
            <w:rPr>
              <w:rFonts w:asciiTheme="minorHAnsi" w:eastAsiaTheme="minorEastAsia" w:hAnsiTheme="minorHAnsi" w:cstheme="minorBidi"/>
              <w:noProof/>
              <w:sz w:val="22"/>
              <w:szCs w:val="22"/>
              <w:lang w:val="en-GB" w:eastAsia="en-GB"/>
            </w:rPr>
          </w:pPr>
          <w:hyperlink w:anchor="_Toc70948787" w:history="1">
            <w:r w:rsidR="003B1DED" w:rsidRPr="00D4208F">
              <w:rPr>
                <w:rStyle w:val="Lienhypertexte"/>
                <w:noProof/>
              </w:rPr>
              <w:t>b)</w:t>
            </w:r>
            <w:r w:rsidR="003B1DED">
              <w:rPr>
                <w:rFonts w:asciiTheme="minorHAnsi" w:eastAsiaTheme="minorEastAsia" w:hAnsiTheme="minorHAnsi" w:cstheme="minorBidi"/>
                <w:noProof/>
                <w:sz w:val="22"/>
                <w:szCs w:val="22"/>
                <w:lang w:val="en-GB" w:eastAsia="en-GB"/>
              </w:rPr>
              <w:tab/>
            </w:r>
            <w:r w:rsidR="003B1DED" w:rsidRPr="00D4208F">
              <w:rPr>
                <w:rStyle w:val="Lienhypertexte"/>
                <w:noProof/>
              </w:rPr>
              <w:t>Radiamètre 6150AD 6/H</w:t>
            </w:r>
            <w:r w:rsidR="003B1DED">
              <w:rPr>
                <w:noProof/>
                <w:webHidden/>
              </w:rPr>
              <w:tab/>
            </w:r>
            <w:r>
              <w:rPr>
                <w:noProof/>
                <w:webHidden/>
              </w:rPr>
              <w:fldChar w:fldCharType="begin"/>
            </w:r>
            <w:r w:rsidR="003B1DED">
              <w:rPr>
                <w:noProof/>
                <w:webHidden/>
              </w:rPr>
              <w:instrText xml:space="preserve"> PAGEREF _Toc70948787 \h </w:instrText>
            </w:r>
            <w:r>
              <w:rPr>
                <w:noProof/>
                <w:webHidden/>
              </w:rPr>
            </w:r>
            <w:r>
              <w:rPr>
                <w:noProof/>
                <w:webHidden/>
              </w:rPr>
              <w:fldChar w:fldCharType="separate"/>
            </w:r>
            <w:r w:rsidR="003B1DED">
              <w:rPr>
                <w:noProof/>
                <w:webHidden/>
              </w:rPr>
              <w:t>7</w:t>
            </w:r>
            <w:r>
              <w:rPr>
                <w:noProof/>
                <w:webHidden/>
              </w:rPr>
              <w:fldChar w:fldCharType="end"/>
            </w:r>
          </w:hyperlink>
        </w:p>
        <w:p w:rsidR="003B1DED" w:rsidRDefault="00640930">
          <w:pPr>
            <w:pStyle w:val="TM1"/>
            <w:tabs>
              <w:tab w:val="left" w:pos="440"/>
              <w:tab w:val="right" w:leader="dot" w:pos="9016"/>
            </w:tabs>
            <w:rPr>
              <w:rFonts w:asciiTheme="minorHAnsi" w:eastAsiaTheme="minorEastAsia" w:hAnsiTheme="minorHAnsi" w:cstheme="minorBidi"/>
              <w:noProof/>
              <w:sz w:val="22"/>
              <w:szCs w:val="22"/>
              <w:lang w:val="en-GB" w:eastAsia="en-GB"/>
            </w:rPr>
          </w:pPr>
          <w:hyperlink w:anchor="_Toc70948788" w:history="1">
            <w:r w:rsidR="003B1DED" w:rsidRPr="00D4208F">
              <w:rPr>
                <w:rStyle w:val="Lienhypertexte"/>
                <w:noProof/>
              </w:rPr>
              <w:t>c)</w:t>
            </w:r>
            <w:r w:rsidR="003B1DED">
              <w:rPr>
                <w:rFonts w:asciiTheme="minorHAnsi" w:eastAsiaTheme="minorEastAsia" w:hAnsiTheme="minorHAnsi" w:cstheme="minorBidi"/>
                <w:noProof/>
                <w:sz w:val="22"/>
                <w:szCs w:val="22"/>
                <w:lang w:val="en-GB" w:eastAsia="en-GB"/>
              </w:rPr>
              <w:tab/>
            </w:r>
            <w:r w:rsidR="003B1DED" w:rsidRPr="00D4208F">
              <w:rPr>
                <w:rStyle w:val="Lienhypertexte"/>
                <w:noProof/>
              </w:rPr>
              <w:t>Radiamètre Ludlum 26/1</w:t>
            </w:r>
            <w:r w:rsidR="003B1DED">
              <w:rPr>
                <w:noProof/>
                <w:webHidden/>
              </w:rPr>
              <w:tab/>
            </w:r>
            <w:r>
              <w:rPr>
                <w:noProof/>
                <w:webHidden/>
              </w:rPr>
              <w:fldChar w:fldCharType="begin"/>
            </w:r>
            <w:r w:rsidR="003B1DED">
              <w:rPr>
                <w:noProof/>
                <w:webHidden/>
              </w:rPr>
              <w:instrText xml:space="preserve"> PAGEREF _Toc70948788 \h </w:instrText>
            </w:r>
            <w:r>
              <w:rPr>
                <w:noProof/>
                <w:webHidden/>
              </w:rPr>
            </w:r>
            <w:r>
              <w:rPr>
                <w:noProof/>
                <w:webHidden/>
              </w:rPr>
              <w:fldChar w:fldCharType="separate"/>
            </w:r>
            <w:r w:rsidR="003B1DED">
              <w:rPr>
                <w:noProof/>
                <w:webHidden/>
              </w:rPr>
              <w:t>9</w:t>
            </w:r>
            <w:r>
              <w:rPr>
                <w:noProof/>
                <w:webHidden/>
              </w:rPr>
              <w:fldChar w:fldCharType="end"/>
            </w:r>
          </w:hyperlink>
        </w:p>
        <w:p w:rsidR="003B1DED" w:rsidRDefault="00640930">
          <w:pPr>
            <w:pStyle w:val="TM1"/>
            <w:tabs>
              <w:tab w:val="left" w:pos="440"/>
              <w:tab w:val="right" w:leader="dot" w:pos="9016"/>
            </w:tabs>
            <w:rPr>
              <w:rFonts w:asciiTheme="minorHAnsi" w:eastAsiaTheme="minorEastAsia" w:hAnsiTheme="minorHAnsi" w:cstheme="minorBidi"/>
              <w:noProof/>
              <w:sz w:val="22"/>
              <w:szCs w:val="22"/>
              <w:lang w:val="en-GB" w:eastAsia="en-GB"/>
            </w:rPr>
          </w:pPr>
          <w:hyperlink w:anchor="_Toc70948789" w:history="1">
            <w:r w:rsidR="003B1DED" w:rsidRPr="00D4208F">
              <w:rPr>
                <w:rStyle w:val="Lienhypertexte"/>
                <w:noProof/>
              </w:rPr>
              <w:t>d)</w:t>
            </w:r>
            <w:r w:rsidR="003B1DED">
              <w:rPr>
                <w:rFonts w:asciiTheme="minorHAnsi" w:eastAsiaTheme="minorEastAsia" w:hAnsiTheme="minorHAnsi" w:cstheme="minorBidi"/>
                <w:noProof/>
                <w:sz w:val="22"/>
                <w:szCs w:val="22"/>
                <w:lang w:val="en-GB" w:eastAsia="en-GB"/>
              </w:rPr>
              <w:tab/>
            </w:r>
            <w:r w:rsidR="003B1DED" w:rsidRPr="00D4208F">
              <w:rPr>
                <w:rStyle w:val="Lienhypertexte"/>
                <w:noProof/>
              </w:rPr>
              <w:t>Chambre à ionisation RAM ION</w:t>
            </w:r>
            <w:r w:rsidR="003B1DED">
              <w:rPr>
                <w:noProof/>
                <w:webHidden/>
              </w:rPr>
              <w:tab/>
            </w:r>
            <w:r>
              <w:rPr>
                <w:noProof/>
                <w:webHidden/>
              </w:rPr>
              <w:fldChar w:fldCharType="begin"/>
            </w:r>
            <w:r w:rsidR="003B1DED">
              <w:rPr>
                <w:noProof/>
                <w:webHidden/>
              </w:rPr>
              <w:instrText xml:space="preserve"> PAGEREF _Toc70948789 \h </w:instrText>
            </w:r>
            <w:r>
              <w:rPr>
                <w:noProof/>
                <w:webHidden/>
              </w:rPr>
            </w:r>
            <w:r>
              <w:rPr>
                <w:noProof/>
                <w:webHidden/>
              </w:rPr>
              <w:fldChar w:fldCharType="separate"/>
            </w:r>
            <w:r w:rsidR="003B1DED">
              <w:rPr>
                <w:noProof/>
                <w:webHidden/>
              </w:rPr>
              <w:t>10</w:t>
            </w:r>
            <w:r>
              <w:rPr>
                <w:noProof/>
                <w:webHidden/>
              </w:rPr>
              <w:fldChar w:fldCharType="end"/>
            </w:r>
          </w:hyperlink>
        </w:p>
        <w:p w:rsidR="003B1DED" w:rsidRDefault="00640930">
          <w:pPr>
            <w:pStyle w:val="TM1"/>
            <w:tabs>
              <w:tab w:val="left" w:pos="440"/>
              <w:tab w:val="right" w:leader="dot" w:pos="9016"/>
            </w:tabs>
            <w:rPr>
              <w:rFonts w:asciiTheme="minorHAnsi" w:eastAsiaTheme="minorEastAsia" w:hAnsiTheme="minorHAnsi" w:cstheme="minorBidi"/>
              <w:noProof/>
              <w:sz w:val="22"/>
              <w:szCs w:val="22"/>
              <w:lang w:val="en-GB" w:eastAsia="en-GB"/>
            </w:rPr>
          </w:pPr>
          <w:hyperlink w:anchor="_Toc70948790" w:history="1">
            <w:r w:rsidR="003B1DED" w:rsidRPr="00D4208F">
              <w:rPr>
                <w:rStyle w:val="Lienhypertexte"/>
                <w:noProof/>
              </w:rPr>
              <w:t>e)</w:t>
            </w:r>
            <w:r w:rsidR="003B1DED">
              <w:rPr>
                <w:rFonts w:asciiTheme="minorHAnsi" w:eastAsiaTheme="minorEastAsia" w:hAnsiTheme="minorHAnsi" w:cstheme="minorBidi"/>
                <w:noProof/>
                <w:sz w:val="22"/>
                <w:szCs w:val="22"/>
                <w:lang w:val="en-GB" w:eastAsia="en-GB"/>
              </w:rPr>
              <w:tab/>
            </w:r>
            <w:r w:rsidR="003B1DED" w:rsidRPr="00D4208F">
              <w:rPr>
                <w:rStyle w:val="Lienhypertexte"/>
                <w:noProof/>
              </w:rPr>
              <w:t>Ecran « Terre rare »</w:t>
            </w:r>
            <w:r w:rsidR="003B1DED">
              <w:rPr>
                <w:noProof/>
                <w:webHidden/>
              </w:rPr>
              <w:tab/>
            </w:r>
            <w:r>
              <w:rPr>
                <w:noProof/>
                <w:webHidden/>
              </w:rPr>
              <w:fldChar w:fldCharType="begin"/>
            </w:r>
            <w:r w:rsidR="003B1DED">
              <w:rPr>
                <w:noProof/>
                <w:webHidden/>
              </w:rPr>
              <w:instrText xml:space="preserve"> PAGEREF _Toc70948790 \h </w:instrText>
            </w:r>
            <w:r>
              <w:rPr>
                <w:noProof/>
                <w:webHidden/>
              </w:rPr>
            </w:r>
            <w:r>
              <w:rPr>
                <w:noProof/>
                <w:webHidden/>
              </w:rPr>
              <w:fldChar w:fldCharType="separate"/>
            </w:r>
            <w:r w:rsidR="003B1DED">
              <w:rPr>
                <w:noProof/>
                <w:webHidden/>
              </w:rPr>
              <w:t>12</w:t>
            </w:r>
            <w:r>
              <w:rPr>
                <w:noProof/>
                <w:webHidden/>
              </w:rPr>
              <w:fldChar w:fldCharType="end"/>
            </w:r>
          </w:hyperlink>
        </w:p>
        <w:p w:rsidR="008D66B3" w:rsidRDefault="00640930">
          <w:pPr>
            <w:rPr>
              <w:lang w:val="fr-FR"/>
            </w:rPr>
          </w:pPr>
          <w:r>
            <w:rPr>
              <w:lang w:val="fr-FR"/>
            </w:rPr>
            <w:fldChar w:fldCharType="end"/>
          </w:r>
        </w:p>
      </w:sdtContent>
    </w:sdt>
    <w:p w:rsidR="008D66B3" w:rsidRDefault="008D66B3" w:rsidP="008D66B3"/>
    <w:p w:rsidR="00E329FB" w:rsidRDefault="00E329FB" w:rsidP="008D66B3"/>
    <w:p w:rsidR="00E329FB" w:rsidRDefault="00E329FB" w:rsidP="008D66B3"/>
    <w:p w:rsidR="00E329FB" w:rsidRDefault="00E329FB" w:rsidP="008D66B3"/>
    <w:p w:rsidR="008D66B3" w:rsidRDefault="008D66B3" w:rsidP="008D66B3"/>
    <w:p w:rsidR="008D66B3" w:rsidRDefault="008D66B3" w:rsidP="008D66B3">
      <w:pPr>
        <w:pStyle w:val="Titre1"/>
        <w:numPr>
          <w:ilvl w:val="0"/>
          <w:numId w:val="18"/>
        </w:numPr>
        <w:jc w:val="left"/>
        <w:rPr>
          <w:rFonts w:ascii="Calibri" w:hAnsi="Calibri"/>
          <w:color w:val="auto"/>
        </w:rPr>
      </w:pPr>
      <w:bookmarkStart w:id="3" w:name="_Toc70948781"/>
      <w:r w:rsidRPr="008D66B3">
        <w:rPr>
          <w:rFonts w:ascii="Calibri" w:hAnsi="Calibri"/>
          <w:color w:val="auto"/>
        </w:rPr>
        <w:lastRenderedPageBreak/>
        <w:t>Champs d’application</w:t>
      </w:r>
      <w:bookmarkEnd w:id="3"/>
    </w:p>
    <w:p w:rsidR="008D66B3" w:rsidRDefault="008D66B3" w:rsidP="008D66B3"/>
    <w:p w:rsidR="008D66B3" w:rsidRDefault="008D66B3" w:rsidP="008D66B3">
      <w:r>
        <w:t xml:space="preserve">Cette procédure s’applique l’ensemble du matériel </w:t>
      </w:r>
      <w:r w:rsidR="00E329FB">
        <w:t xml:space="preserve">de mesure </w:t>
      </w:r>
      <w:r>
        <w:t>utilisé par le Service de Contrôle Physi</w:t>
      </w:r>
      <w:r w:rsidR="004C2199">
        <w:t>que du CHBA et concerne l’ensemble des RPO du CHBA.</w:t>
      </w:r>
    </w:p>
    <w:p w:rsidR="00E329FB" w:rsidRDefault="00E329FB" w:rsidP="008D66B3"/>
    <w:p w:rsidR="00E329FB" w:rsidRDefault="00E329FB" w:rsidP="008D66B3"/>
    <w:p w:rsidR="00E329FB" w:rsidRPr="009834C1" w:rsidRDefault="00E329FB" w:rsidP="009834C1">
      <w:pPr>
        <w:pStyle w:val="Titre1"/>
        <w:numPr>
          <w:ilvl w:val="0"/>
          <w:numId w:val="18"/>
        </w:numPr>
        <w:jc w:val="left"/>
        <w:rPr>
          <w:rFonts w:ascii="Times New Roman" w:hAnsi="Times New Roman" w:cs="Times New Roman"/>
          <w:color w:val="auto"/>
        </w:rPr>
      </w:pPr>
      <w:bookmarkStart w:id="4" w:name="_Toc70948782"/>
      <w:r w:rsidRPr="009834C1">
        <w:rPr>
          <w:rFonts w:ascii="Times New Roman" w:hAnsi="Times New Roman" w:cs="Times New Roman"/>
          <w:color w:val="auto"/>
        </w:rPr>
        <w:t>Inventaire du matériel</w:t>
      </w:r>
      <w:bookmarkEnd w:id="4"/>
    </w:p>
    <w:p w:rsidR="00E329FB" w:rsidRDefault="00E329FB" w:rsidP="00E329FB"/>
    <w:p w:rsidR="00E329FB" w:rsidRDefault="00E329FB" w:rsidP="00E329FB"/>
    <w:tbl>
      <w:tblPr>
        <w:tblStyle w:val="Grilledutableau"/>
        <w:tblW w:w="0" w:type="auto"/>
        <w:tblLook w:val="04A0"/>
      </w:tblPr>
      <w:tblGrid>
        <w:gridCol w:w="2227"/>
        <w:gridCol w:w="1988"/>
        <w:gridCol w:w="1921"/>
        <w:gridCol w:w="1335"/>
        <w:gridCol w:w="1771"/>
      </w:tblGrid>
      <w:tr w:rsidR="004C2199" w:rsidTr="004C2199">
        <w:tc>
          <w:tcPr>
            <w:tcW w:w="2227" w:type="dxa"/>
          </w:tcPr>
          <w:p w:rsidR="004C2199" w:rsidRDefault="004C2199" w:rsidP="00E329FB">
            <w:r>
              <w:t>Appareil</w:t>
            </w:r>
          </w:p>
        </w:tc>
        <w:tc>
          <w:tcPr>
            <w:tcW w:w="1988" w:type="dxa"/>
          </w:tcPr>
          <w:p w:rsidR="004C2199" w:rsidRDefault="004C2199" w:rsidP="00E329FB">
            <w:r>
              <w:t>Type</w:t>
            </w:r>
          </w:p>
        </w:tc>
        <w:tc>
          <w:tcPr>
            <w:tcW w:w="1921" w:type="dxa"/>
          </w:tcPr>
          <w:p w:rsidR="004C2199" w:rsidRDefault="004C2199" w:rsidP="00E329FB">
            <w:r>
              <w:t>Date de calibration</w:t>
            </w:r>
          </w:p>
        </w:tc>
        <w:tc>
          <w:tcPr>
            <w:tcW w:w="1335" w:type="dxa"/>
          </w:tcPr>
          <w:p w:rsidR="004C2199" w:rsidRDefault="004C2199" w:rsidP="00E329FB">
            <w:r>
              <w:t>Radiation</w:t>
            </w:r>
          </w:p>
        </w:tc>
        <w:tc>
          <w:tcPr>
            <w:tcW w:w="1771" w:type="dxa"/>
          </w:tcPr>
          <w:p w:rsidR="004C2199" w:rsidRDefault="004C2199" w:rsidP="00E329FB">
            <w:r>
              <w:t>Emplacement</w:t>
            </w:r>
          </w:p>
        </w:tc>
      </w:tr>
      <w:tr w:rsidR="004C2199" w:rsidTr="004C2199">
        <w:tc>
          <w:tcPr>
            <w:tcW w:w="2227" w:type="dxa"/>
          </w:tcPr>
          <w:p w:rsidR="004C2199" w:rsidRDefault="004C2199" w:rsidP="00E329FB">
            <w:proofErr w:type="spellStart"/>
            <w:r>
              <w:t>Contaminamètre</w:t>
            </w:r>
            <w:proofErr w:type="spellEnd"/>
            <w:r>
              <w:t xml:space="preserve"> Mini 900 </w:t>
            </w:r>
            <w:r w:rsidR="00353027">
              <w:t>(sn1049</w:t>
            </w:r>
            <w:proofErr w:type="gramStart"/>
            <w:r w:rsidR="00353027">
              <w:t>)</w:t>
            </w:r>
            <w:r>
              <w:t>+</w:t>
            </w:r>
            <w:proofErr w:type="gramEnd"/>
            <w:r>
              <w:t xml:space="preserve"> sonde 42A</w:t>
            </w:r>
            <w:r w:rsidR="00353027">
              <w:t xml:space="preserve"> (sn353)</w:t>
            </w:r>
          </w:p>
        </w:tc>
        <w:tc>
          <w:tcPr>
            <w:tcW w:w="1988" w:type="dxa"/>
          </w:tcPr>
          <w:p w:rsidR="004C2199" w:rsidRDefault="004C2199" w:rsidP="00E329FB">
            <w:r>
              <w:t xml:space="preserve">Scintillateur </w:t>
            </w:r>
            <w:proofErr w:type="spellStart"/>
            <w:r>
              <w:t>NaI</w:t>
            </w:r>
            <w:proofErr w:type="spellEnd"/>
          </w:p>
        </w:tc>
        <w:tc>
          <w:tcPr>
            <w:tcW w:w="1921" w:type="dxa"/>
          </w:tcPr>
          <w:p w:rsidR="004C2199" w:rsidRDefault="004C2199" w:rsidP="00C03FDA">
            <w:r>
              <w:t xml:space="preserve">Sonde hors service </w:t>
            </w:r>
            <w:r w:rsidR="00C03FDA">
              <w:t>et n’existe plus. A</w:t>
            </w:r>
            <w:r>
              <w:t xml:space="preserve"> remplacer</w:t>
            </w:r>
            <w:r w:rsidR="00C03FDA">
              <w:t xml:space="preserve"> par une sonde 44B (offre reçue en 2021) </w:t>
            </w:r>
          </w:p>
        </w:tc>
        <w:tc>
          <w:tcPr>
            <w:tcW w:w="1335" w:type="dxa"/>
          </w:tcPr>
          <w:p w:rsidR="004C2199" w:rsidRDefault="00715C09" w:rsidP="00E329FB">
            <w:r>
              <w:t>G</w:t>
            </w:r>
            <w:r w:rsidR="004C2199">
              <w:t>amma, X</w:t>
            </w:r>
          </w:p>
        </w:tc>
        <w:tc>
          <w:tcPr>
            <w:tcW w:w="1771" w:type="dxa"/>
          </w:tcPr>
          <w:p w:rsidR="004C2199" w:rsidRDefault="004C2199" w:rsidP="00E329FB">
            <w:r>
              <w:t>Bureau SIPP/SCP</w:t>
            </w:r>
          </w:p>
        </w:tc>
      </w:tr>
      <w:tr w:rsidR="004C2199" w:rsidTr="004C2199">
        <w:tc>
          <w:tcPr>
            <w:tcW w:w="2227" w:type="dxa"/>
          </w:tcPr>
          <w:p w:rsidR="004C2199" w:rsidRDefault="004C2199" w:rsidP="00E329FB">
            <w:proofErr w:type="spellStart"/>
            <w:r>
              <w:t>Contaminamètre</w:t>
            </w:r>
            <w:proofErr w:type="spellEnd"/>
            <w:r>
              <w:t xml:space="preserve"> Mini 900 + sonde 44B</w:t>
            </w:r>
          </w:p>
        </w:tc>
        <w:tc>
          <w:tcPr>
            <w:tcW w:w="1988" w:type="dxa"/>
          </w:tcPr>
          <w:p w:rsidR="004C2199" w:rsidRDefault="004C2199" w:rsidP="00E329FB">
            <w:r>
              <w:t xml:space="preserve">Scintillateur </w:t>
            </w:r>
            <w:proofErr w:type="spellStart"/>
            <w:r>
              <w:t>NaI</w:t>
            </w:r>
            <w:proofErr w:type="spellEnd"/>
          </w:p>
        </w:tc>
        <w:tc>
          <w:tcPr>
            <w:tcW w:w="1921" w:type="dxa"/>
          </w:tcPr>
          <w:p w:rsidR="004C2199" w:rsidRDefault="00594371" w:rsidP="00E329FB">
            <w:proofErr w:type="spellStart"/>
            <w:r>
              <w:t>Intercomparaison</w:t>
            </w:r>
            <w:proofErr w:type="spellEnd"/>
            <w:r>
              <w:t xml:space="preserve"> </w:t>
            </w:r>
            <w:proofErr w:type="spellStart"/>
            <w:r>
              <w:t>Contrôlatom</w:t>
            </w:r>
            <w:proofErr w:type="spellEnd"/>
            <w:r>
              <w:t xml:space="preserve"> 26/02/2021</w:t>
            </w:r>
          </w:p>
        </w:tc>
        <w:tc>
          <w:tcPr>
            <w:tcW w:w="1335" w:type="dxa"/>
          </w:tcPr>
          <w:p w:rsidR="004C2199" w:rsidRDefault="00715C09" w:rsidP="00E329FB">
            <w:r>
              <w:t>G</w:t>
            </w:r>
            <w:r w:rsidR="004C2199">
              <w:t>amma</w:t>
            </w:r>
            <w:r w:rsidR="00D4105A">
              <w:t>, X</w:t>
            </w:r>
          </w:p>
        </w:tc>
        <w:tc>
          <w:tcPr>
            <w:tcW w:w="1771" w:type="dxa"/>
          </w:tcPr>
          <w:p w:rsidR="004C2199" w:rsidRDefault="004C2199" w:rsidP="00E329FB">
            <w:r>
              <w:t>Médecine Nucléaire</w:t>
            </w:r>
          </w:p>
        </w:tc>
      </w:tr>
      <w:tr w:rsidR="004C2199" w:rsidTr="004C2199">
        <w:tc>
          <w:tcPr>
            <w:tcW w:w="2227" w:type="dxa"/>
          </w:tcPr>
          <w:p w:rsidR="004C2199" w:rsidRPr="004327C5" w:rsidRDefault="004C2199" w:rsidP="00E329FB">
            <w:proofErr w:type="spellStart"/>
            <w:r>
              <w:rPr>
                <w:bCs/>
              </w:rPr>
              <w:t>R</w:t>
            </w:r>
            <w:r w:rsidRPr="004327C5">
              <w:rPr>
                <w:bCs/>
              </w:rPr>
              <w:t>adiamètre</w:t>
            </w:r>
            <w:proofErr w:type="spellEnd"/>
            <w:r w:rsidRPr="004327C5">
              <w:rPr>
                <w:bCs/>
              </w:rPr>
              <w:t xml:space="preserve"> 6150AD 6/H</w:t>
            </w:r>
          </w:p>
        </w:tc>
        <w:tc>
          <w:tcPr>
            <w:tcW w:w="1988" w:type="dxa"/>
          </w:tcPr>
          <w:p w:rsidR="004C2199" w:rsidRDefault="004C2199" w:rsidP="004C2199">
            <w:r>
              <w:t>Geiger-Müller</w:t>
            </w:r>
          </w:p>
        </w:tc>
        <w:tc>
          <w:tcPr>
            <w:tcW w:w="1921" w:type="dxa"/>
          </w:tcPr>
          <w:p w:rsidR="004C2199" w:rsidRDefault="0071798C" w:rsidP="00E329FB">
            <w:r w:rsidRPr="0071798C">
              <w:t>15/01/2013</w:t>
            </w:r>
          </w:p>
          <w:p w:rsidR="00834328" w:rsidRPr="0071798C" w:rsidRDefault="00834328" w:rsidP="00E329FB">
            <w:proofErr w:type="spellStart"/>
            <w:r>
              <w:t>Intercomparaison</w:t>
            </w:r>
            <w:proofErr w:type="spellEnd"/>
            <w:r>
              <w:t xml:space="preserve"> </w:t>
            </w:r>
            <w:proofErr w:type="spellStart"/>
            <w:r>
              <w:t>Contrôlatom</w:t>
            </w:r>
            <w:proofErr w:type="spellEnd"/>
            <w:r>
              <w:t xml:space="preserve"> 26/02/2021</w:t>
            </w:r>
          </w:p>
        </w:tc>
        <w:tc>
          <w:tcPr>
            <w:tcW w:w="1335" w:type="dxa"/>
          </w:tcPr>
          <w:p w:rsidR="004C2199" w:rsidRDefault="00715C09" w:rsidP="00E329FB">
            <w:r>
              <w:t>Gamma, X</w:t>
            </w:r>
          </w:p>
        </w:tc>
        <w:tc>
          <w:tcPr>
            <w:tcW w:w="1771" w:type="dxa"/>
          </w:tcPr>
          <w:p w:rsidR="004C2199" w:rsidRDefault="004C2199" w:rsidP="00E329FB">
            <w:r>
              <w:t>Médecine Nucléaire</w:t>
            </w:r>
          </w:p>
        </w:tc>
      </w:tr>
      <w:tr w:rsidR="004C2199" w:rsidTr="004C2199">
        <w:tc>
          <w:tcPr>
            <w:tcW w:w="2227" w:type="dxa"/>
          </w:tcPr>
          <w:p w:rsidR="004C2199" w:rsidRDefault="004C2A72" w:rsidP="00E329FB">
            <w:proofErr w:type="spellStart"/>
            <w:r>
              <w:t>Radiamètre</w:t>
            </w:r>
            <w:proofErr w:type="spellEnd"/>
            <w:r>
              <w:t xml:space="preserve"> </w:t>
            </w:r>
            <w:proofErr w:type="spellStart"/>
            <w:r>
              <w:t>Ludlum</w:t>
            </w:r>
            <w:proofErr w:type="spellEnd"/>
            <w:r>
              <w:t xml:space="preserve"> 26/1</w:t>
            </w:r>
          </w:p>
        </w:tc>
        <w:tc>
          <w:tcPr>
            <w:tcW w:w="1988" w:type="dxa"/>
          </w:tcPr>
          <w:p w:rsidR="004C2199" w:rsidRDefault="004C2A72" w:rsidP="00E329FB">
            <w:r>
              <w:t>Geiger-Müller</w:t>
            </w:r>
          </w:p>
        </w:tc>
        <w:tc>
          <w:tcPr>
            <w:tcW w:w="1921" w:type="dxa"/>
          </w:tcPr>
          <w:p w:rsidR="004C2199" w:rsidRPr="0071798C" w:rsidRDefault="0071798C" w:rsidP="00E329FB">
            <w:r w:rsidRPr="0071798C">
              <w:t>26/08/2020</w:t>
            </w:r>
          </w:p>
        </w:tc>
        <w:tc>
          <w:tcPr>
            <w:tcW w:w="1335" w:type="dxa"/>
          </w:tcPr>
          <w:p w:rsidR="004C2199" w:rsidRDefault="00715C09" w:rsidP="004D2E93">
            <w:r>
              <w:t>Alpha, B</w:t>
            </w:r>
            <w:r w:rsidR="004C2199">
              <w:t>éta</w:t>
            </w:r>
            <w:r>
              <w:t xml:space="preserve">, </w:t>
            </w:r>
            <w:r w:rsidR="00C03FDA">
              <w:t>Gamma</w:t>
            </w:r>
            <w:r w:rsidR="00744109">
              <w:t>, X</w:t>
            </w:r>
          </w:p>
        </w:tc>
        <w:tc>
          <w:tcPr>
            <w:tcW w:w="1771" w:type="dxa"/>
          </w:tcPr>
          <w:p w:rsidR="004C2199" w:rsidRDefault="004C2A72" w:rsidP="00E329FB">
            <w:r>
              <w:t>Médecine Nucléaire</w:t>
            </w:r>
          </w:p>
        </w:tc>
      </w:tr>
      <w:tr w:rsidR="004C2199" w:rsidTr="004C2199">
        <w:tc>
          <w:tcPr>
            <w:tcW w:w="2227" w:type="dxa"/>
          </w:tcPr>
          <w:p w:rsidR="004C2199" w:rsidRDefault="004C2A72" w:rsidP="00E329FB">
            <w:r>
              <w:t>Chambre d’ionisation RAM ION</w:t>
            </w:r>
          </w:p>
        </w:tc>
        <w:tc>
          <w:tcPr>
            <w:tcW w:w="1988" w:type="dxa"/>
          </w:tcPr>
          <w:p w:rsidR="004C2199" w:rsidRDefault="004C2A72" w:rsidP="00E329FB">
            <w:r>
              <w:t>Chambre d’ionisation</w:t>
            </w:r>
          </w:p>
        </w:tc>
        <w:tc>
          <w:tcPr>
            <w:tcW w:w="1921" w:type="dxa"/>
          </w:tcPr>
          <w:p w:rsidR="004C2199" w:rsidRPr="0071798C" w:rsidRDefault="0071798C" w:rsidP="00E329FB">
            <w:r w:rsidRPr="0071798C">
              <w:t>23/09/2020</w:t>
            </w:r>
          </w:p>
        </w:tc>
        <w:tc>
          <w:tcPr>
            <w:tcW w:w="1335" w:type="dxa"/>
          </w:tcPr>
          <w:p w:rsidR="004C2199" w:rsidRDefault="004D2E93" w:rsidP="00E329FB">
            <w:r>
              <w:t>Béta + Gamma, G</w:t>
            </w:r>
            <w:r w:rsidR="004C2199">
              <w:t>amma, X</w:t>
            </w:r>
          </w:p>
        </w:tc>
        <w:tc>
          <w:tcPr>
            <w:tcW w:w="1771" w:type="dxa"/>
          </w:tcPr>
          <w:p w:rsidR="004C2199" w:rsidRDefault="004C2A72" w:rsidP="00E329FB">
            <w:r>
              <w:t>Bureau SIPP/SCP</w:t>
            </w:r>
          </w:p>
        </w:tc>
      </w:tr>
      <w:tr w:rsidR="004C2A72" w:rsidTr="004C2199">
        <w:tc>
          <w:tcPr>
            <w:tcW w:w="2227" w:type="dxa"/>
          </w:tcPr>
          <w:p w:rsidR="004C2A72" w:rsidRDefault="004C2A72" w:rsidP="00E329FB">
            <w:r>
              <w:t>Ecran « terre rare »</w:t>
            </w:r>
          </w:p>
        </w:tc>
        <w:tc>
          <w:tcPr>
            <w:tcW w:w="1988" w:type="dxa"/>
          </w:tcPr>
          <w:p w:rsidR="004C2A72" w:rsidRDefault="00D42C7A" w:rsidP="00E329FB">
            <w:r>
              <w:t>Ecran renforçateur de cassette à RX</w:t>
            </w:r>
          </w:p>
        </w:tc>
        <w:tc>
          <w:tcPr>
            <w:tcW w:w="1921" w:type="dxa"/>
          </w:tcPr>
          <w:p w:rsidR="004C2A72" w:rsidRDefault="00D42C7A" w:rsidP="00E329FB">
            <w:r>
              <w:t>Pas de calibration, à protéger de la lumière.</w:t>
            </w:r>
          </w:p>
        </w:tc>
        <w:tc>
          <w:tcPr>
            <w:tcW w:w="1335" w:type="dxa"/>
          </w:tcPr>
          <w:p w:rsidR="004C2A72" w:rsidRDefault="00D42C7A" w:rsidP="00E329FB">
            <w:r>
              <w:t>X</w:t>
            </w:r>
            <w:r w:rsidR="004D2E93">
              <w:t xml:space="preserve"> / Gamma</w:t>
            </w:r>
          </w:p>
        </w:tc>
        <w:tc>
          <w:tcPr>
            <w:tcW w:w="1771" w:type="dxa"/>
          </w:tcPr>
          <w:p w:rsidR="004C2A72" w:rsidRDefault="00D42C7A" w:rsidP="00E329FB">
            <w:r>
              <w:t>Bureau SIPP/SCP</w:t>
            </w:r>
          </w:p>
        </w:tc>
      </w:tr>
    </w:tbl>
    <w:p w:rsidR="00E329FB" w:rsidRDefault="00E329FB" w:rsidP="00E329FB"/>
    <w:p w:rsidR="00E329FB" w:rsidRPr="008D66B3" w:rsidRDefault="00E329FB" w:rsidP="00E329FB"/>
    <w:p w:rsidR="00D42C7A" w:rsidRPr="002F05DD" w:rsidRDefault="00D42C7A" w:rsidP="002F05DD">
      <w:pPr>
        <w:pStyle w:val="Titre1"/>
        <w:numPr>
          <w:ilvl w:val="0"/>
          <w:numId w:val="18"/>
        </w:numPr>
        <w:jc w:val="left"/>
        <w:rPr>
          <w:rFonts w:ascii="Times New Roman" w:hAnsi="Times New Roman" w:cs="Times New Roman"/>
          <w:color w:val="auto"/>
        </w:rPr>
      </w:pPr>
      <w:bookmarkStart w:id="5" w:name="_Toc70948783"/>
      <w:r w:rsidRPr="002F05DD">
        <w:rPr>
          <w:rFonts w:ascii="Times New Roman" w:hAnsi="Times New Roman" w:cs="Times New Roman"/>
          <w:color w:val="auto"/>
        </w:rPr>
        <w:t>Principe de fonctionnement</w:t>
      </w:r>
      <w:bookmarkEnd w:id="5"/>
    </w:p>
    <w:p w:rsidR="008D66B3" w:rsidRDefault="008D66B3" w:rsidP="008D66B3"/>
    <w:p w:rsidR="00E707B5" w:rsidRDefault="00D42C7A" w:rsidP="00D42C7A">
      <w:pPr>
        <w:pStyle w:val="Paragraphedeliste"/>
        <w:numPr>
          <w:ilvl w:val="1"/>
          <w:numId w:val="18"/>
        </w:numPr>
        <w:rPr>
          <w:rFonts w:ascii="Calibri" w:hAnsi="Calibri"/>
          <w:b/>
          <w:sz w:val="28"/>
        </w:rPr>
      </w:pPr>
      <w:r>
        <w:rPr>
          <w:rFonts w:ascii="Calibri" w:hAnsi="Calibri"/>
          <w:b/>
          <w:sz w:val="28"/>
        </w:rPr>
        <w:t xml:space="preserve">Scintillateur </w:t>
      </w:r>
      <w:proofErr w:type="spellStart"/>
      <w:r>
        <w:rPr>
          <w:rFonts w:ascii="Calibri" w:hAnsi="Calibri"/>
          <w:b/>
          <w:sz w:val="28"/>
        </w:rPr>
        <w:t>NaI</w:t>
      </w:r>
      <w:proofErr w:type="spellEnd"/>
    </w:p>
    <w:p w:rsidR="00E707B5" w:rsidRDefault="00E707B5" w:rsidP="00E707B5">
      <w:pPr>
        <w:rPr>
          <w:rFonts w:ascii="Calibri" w:hAnsi="Calibri"/>
          <w:b/>
          <w:sz w:val="28"/>
        </w:rPr>
      </w:pPr>
    </w:p>
    <w:p w:rsidR="00E707B5" w:rsidRPr="00AF0995" w:rsidRDefault="00E707B5" w:rsidP="00E707B5">
      <w:pPr>
        <w:spacing w:before="120" w:after="120"/>
        <w:ind w:left="1080"/>
        <w:jc w:val="both"/>
        <w:rPr>
          <w:b/>
          <w:bCs/>
          <w:caps/>
          <w:u w:val="single"/>
        </w:rPr>
      </w:pPr>
      <w:r w:rsidRPr="004C2A72">
        <w:rPr>
          <w:color w:val="0F1419"/>
        </w:rPr>
        <w:t xml:space="preserve">L'interaction d'un rayon </w:t>
      </w:r>
      <w:r>
        <w:rPr>
          <w:color w:val="0F1419"/>
        </w:rPr>
        <w:t>ionisant</w:t>
      </w:r>
      <w:r w:rsidRPr="004C2A72">
        <w:rPr>
          <w:color w:val="0F1419"/>
        </w:rPr>
        <w:t xml:space="preserve"> </w:t>
      </w:r>
      <w:proofErr w:type="gramStart"/>
      <w:r w:rsidR="00F538A0">
        <w:rPr>
          <w:color w:val="0F1419"/>
        </w:rPr>
        <w:t>( Gamma</w:t>
      </w:r>
      <w:proofErr w:type="gramEnd"/>
      <w:r w:rsidR="00F538A0">
        <w:rPr>
          <w:color w:val="0F1419"/>
        </w:rPr>
        <w:t xml:space="preserve"> / X) </w:t>
      </w:r>
      <w:r w:rsidRPr="004C2A72">
        <w:rPr>
          <w:color w:val="0F1419"/>
        </w:rPr>
        <w:t>ave</w:t>
      </w:r>
      <w:r>
        <w:rPr>
          <w:color w:val="0F1419"/>
        </w:rPr>
        <w:t xml:space="preserve">c la sonde </w:t>
      </w:r>
      <w:proofErr w:type="spellStart"/>
      <w:r>
        <w:rPr>
          <w:color w:val="0F1419"/>
        </w:rPr>
        <w:t>NaI</w:t>
      </w:r>
      <w:proofErr w:type="spellEnd"/>
      <w:r>
        <w:rPr>
          <w:color w:val="0F1419"/>
        </w:rPr>
        <w:t xml:space="preserve"> se fait</w:t>
      </w:r>
      <w:r w:rsidRPr="004C2A72">
        <w:rPr>
          <w:color w:val="0F1419"/>
        </w:rPr>
        <w:t xml:space="preserve"> par le transfert d'énergie vers des molécules du milieu</w:t>
      </w:r>
      <w:r>
        <w:rPr>
          <w:color w:val="0F1419"/>
        </w:rPr>
        <w:t xml:space="preserve"> (</w:t>
      </w:r>
      <w:proofErr w:type="spellStart"/>
      <w:r>
        <w:rPr>
          <w:color w:val="0F1419"/>
        </w:rPr>
        <w:t>NaI</w:t>
      </w:r>
      <w:proofErr w:type="spellEnd"/>
      <w:r>
        <w:rPr>
          <w:color w:val="0F1419"/>
        </w:rPr>
        <w:t>)</w:t>
      </w:r>
      <w:r w:rsidRPr="004C2A72">
        <w:rPr>
          <w:color w:val="0F1419"/>
        </w:rPr>
        <w:t xml:space="preserve"> qui se voient portées vers des niveaux excités. La désexcitation des niveaux moléculaires s'accompagne de l'émission de photons de lumière</w:t>
      </w:r>
      <w:r w:rsidR="00AF0995" w:rsidRPr="00AF0995">
        <w:rPr>
          <w:color w:val="0F1419"/>
        </w:rPr>
        <w:t xml:space="preserve">. </w:t>
      </w:r>
      <w:r w:rsidRPr="00AF0995">
        <w:rPr>
          <w:color w:val="202122"/>
          <w:shd w:val="clear" w:color="auto" w:fill="FFFFFF"/>
        </w:rPr>
        <w:t>La lumière émise par le matériau scintillant est amplifiée par un tube photomultiplicateur. </w:t>
      </w:r>
    </w:p>
    <w:p w:rsidR="00AF0995" w:rsidRDefault="00E707B5" w:rsidP="00AF0995">
      <w:pPr>
        <w:spacing w:before="120" w:after="120"/>
        <w:ind w:left="1080"/>
        <w:jc w:val="both"/>
      </w:pPr>
      <w:r w:rsidRPr="00AF0995">
        <w:t>Le compteur le traduit, après amplification, par un signal sonore (un crépitement caractéristique) ou visuel (une aiguille, un chiffre).</w:t>
      </w:r>
    </w:p>
    <w:p w:rsidR="00E43B4D" w:rsidRDefault="00E43B4D" w:rsidP="00AF0995">
      <w:pPr>
        <w:spacing w:before="120" w:after="120"/>
        <w:ind w:left="1080"/>
        <w:jc w:val="both"/>
      </w:pPr>
      <w:r>
        <w:t xml:space="preserve">Ces compteurs </w:t>
      </w:r>
      <w:r w:rsidR="00F538A0">
        <w:t>permettent aisément de</w:t>
      </w:r>
      <w:r>
        <w:t xml:space="preserve"> détecter les points chauds. </w:t>
      </w:r>
    </w:p>
    <w:p w:rsidR="00AF0995" w:rsidRDefault="00AD1AEA" w:rsidP="00AF0995">
      <w:pPr>
        <w:spacing w:before="120" w:after="120"/>
        <w:ind w:left="1080"/>
      </w:pPr>
      <w:r>
        <w:t>Pour nos Scintillateurs, u</w:t>
      </w:r>
      <w:r w:rsidR="00AF0995">
        <w:t>n a</w:t>
      </w:r>
      <w:r w:rsidR="00AF0995" w:rsidRPr="00AF0995">
        <w:t>ffichage à aiguil</w:t>
      </w:r>
      <w:r w:rsidR="00AF0995">
        <w:t>le indique le nombre de coups/sec</w:t>
      </w:r>
      <w:r w:rsidR="00AF0995" w:rsidRPr="00AF0995">
        <w:t xml:space="preserve"> sur</w:t>
      </w:r>
      <w:r w:rsidR="00AF0995">
        <w:t xml:space="preserve"> une</w:t>
      </w:r>
      <w:r w:rsidR="00AF0995" w:rsidRPr="00AF0995">
        <w:t xml:space="preserve"> échelle logarithmique,</w:t>
      </w:r>
      <w:r w:rsidR="00654EE8">
        <w:t xml:space="preserve"> et un signal sonore est audible.</w:t>
      </w:r>
      <w:r w:rsidR="00AF0995" w:rsidRPr="00AF0995">
        <w:t xml:space="preserve"> </w:t>
      </w:r>
    </w:p>
    <w:p w:rsidR="00F538A0" w:rsidRPr="00AF0995" w:rsidRDefault="00F538A0" w:rsidP="00AF0995">
      <w:pPr>
        <w:spacing w:before="120" w:after="120"/>
        <w:ind w:left="1080"/>
      </w:pPr>
    </w:p>
    <w:p w:rsidR="00D42C7A" w:rsidRPr="00E707B5" w:rsidRDefault="00D42C7A" w:rsidP="00E707B5">
      <w:pPr>
        <w:rPr>
          <w:rFonts w:ascii="Calibri" w:hAnsi="Calibri"/>
          <w:b/>
          <w:sz w:val="28"/>
        </w:rPr>
      </w:pPr>
    </w:p>
    <w:p w:rsidR="00AD1AEA" w:rsidRDefault="00D42C7A" w:rsidP="00D42C7A">
      <w:pPr>
        <w:pStyle w:val="Paragraphedeliste"/>
        <w:numPr>
          <w:ilvl w:val="1"/>
          <w:numId w:val="18"/>
        </w:numPr>
        <w:rPr>
          <w:rFonts w:ascii="Calibri" w:hAnsi="Calibri"/>
          <w:b/>
          <w:sz w:val="28"/>
        </w:rPr>
      </w:pPr>
      <w:r>
        <w:rPr>
          <w:rFonts w:ascii="Calibri" w:hAnsi="Calibri"/>
          <w:b/>
          <w:sz w:val="28"/>
        </w:rPr>
        <w:lastRenderedPageBreak/>
        <w:t>Geiger-Müller</w:t>
      </w:r>
    </w:p>
    <w:p w:rsidR="00B715C7" w:rsidRPr="00B715C7" w:rsidRDefault="00B715C7" w:rsidP="00916E9B">
      <w:pPr>
        <w:pStyle w:val="Paragraphedeliste"/>
        <w:spacing w:before="120" w:after="120"/>
        <w:jc w:val="both"/>
        <w:rPr>
          <w:b/>
          <w:bCs/>
          <w:caps/>
          <w:u w:val="single"/>
        </w:rPr>
      </w:pPr>
      <w:r>
        <w:rPr>
          <w:rFonts w:ascii="Comic Sans MS" w:hAnsi="Comic Sans MS" w:cs="Arial"/>
        </w:rPr>
        <w:br/>
      </w:r>
      <w:r w:rsidRPr="00B715C7">
        <w:t xml:space="preserve">Le tube Geiger-Müller est une chambre métallique cylindrique remplie d’un gaz sous faible pression et dans l’axe de laquelle est tendu un mince fil métallique. Une tension de l’ordre de 1000 volts est établie entre le cylindre et le fil. </w:t>
      </w:r>
    </w:p>
    <w:p w:rsidR="00F538A0" w:rsidRDefault="00B715C7" w:rsidP="00916E9B">
      <w:pPr>
        <w:pStyle w:val="Paragraphedeliste"/>
      </w:pPr>
      <w:r w:rsidRPr="00B715C7">
        <w:t>Quand un rayonnement ionisant pénètre à l’intérieur du tube Geiger-Müller, il ionise le gaz, c’est-à-dire qu’il lui arrache des électrons. Ces électrons se multiplient très vite et, sous l’effet de la haute tension, provoquent d’autres ionisations en cascade. Le compteur détecte ce phénomène et le traduit, après amplification, par un chiffre</w:t>
      </w:r>
      <w:r w:rsidR="002674F7">
        <w:t xml:space="preserve"> (CPS)</w:t>
      </w:r>
      <w:r w:rsidRPr="002674F7">
        <w:t>.</w:t>
      </w:r>
      <w:r w:rsidR="002674F7" w:rsidRPr="002674F7">
        <w:t xml:space="preserve"> </w:t>
      </w:r>
    </w:p>
    <w:p w:rsidR="00F538A0" w:rsidRDefault="002674F7" w:rsidP="00916E9B">
      <w:pPr>
        <w:pStyle w:val="Paragraphedeliste"/>
        <w:rPr>
          <w:color w:val="202122"/>
          <w:shd w:val="clear" w:color="auto" w:fill="FFFFFF"/>
        </w:rPr>
      </w:pPr>
      <w:r w:rsidRPr="002674F7">
        <w:rPr>
          <w:color w:val="000000"/>
          <w:shd w:val="clear" w:color="auto" w:fill="FFFFEE"/>
        </w:rPr>
        <w:t>Pour passer d’un nombre de particules mesurées au Sievert, un facteur de conversion est affecté à chaque tube selon sa sensibilité et les rayonnements qu’il détecte.</w:t>
      </w:r>
      <w:r w:rsidR="00D4105A" w:rsidRPr="002674F7">
        <w:rPr>
          <w:color w:val="202122"/>
          <w:shd w:val="clear" w:color="auto" w:fill="FFFFFF"/>
        </w:rPr>
        <w:t xml:space="preserve"> </w:t>
      </w:r>
    </w:p>
    <w:p w:rsidR="00F538A0" w:rsidRDefault="00F538A0" w:rsidP="00916E9B">
      <w:pPr>
        <w:pStyle w:val="Paragraphedeliste"/>
        <w:rPr>
          <w:color w:val="202122"/>
          <w:shd w:val="clear" w:color="auto" w:fill="FFFFFF"/>
        </w:rPr>
      </w:pPr>
    </w:p>
    <w:p w:rsidR="00F538A0" w:rsidRDefault="00D4105A" w:rsidP="00916E9B">
      <w:pPr>
        <w:pStyle w:val="Paragraphedeliste"/>
        <w:rPr>
          <w:shd w:val="clear" w:color="auto" w:fill="FFFFFF"/>
        </w:rPr>
      </w:pPr>
      <w:r w:rsidRPr="002674F7">
        <w:rPr>
          <w:color w:val="202122"/>
          <w:shd w:val="clear" w:color="auto" w:fill="FFFFFF"/>
        </w:rPr>
        <w:t>Du</w:t>
      </w:r>
      <w:r w:rsidRPr="00D4105A">
        <w:rPr>
          <w:color w:val="202122"/>
          <w:shd w:val="clear" w:color="auto" w:fill="FFFFFF"/>
        </w:rPr>
        <w:t xml:space="preserve"> fait de cette cascade, c'est un détecteur qui fonctionne en permanence en saturation. L'appareil est sensible au plus petit événement, mais le temps mort est assez important, de l’ordre de 200 microsecondes, et le détecteur sature </w:t>
      </w:r>
      <w:r w:rsidR="002674F7">
        <w:rPr>
          <w:color w:val="202122"/>
          <w:shd w:val="clear" w:color="auto" w:fill="FFFFFF"/>
        </w:rPr>
        <w:t>rapidement. Si le flux est</w:t>
      </w:r>
      <w:r w:rsidRPr="00D4105A">
        <w:rPr>
          <w:color w:val="202122"/>
          <w:shd w:val="clear" w:color="auto" w:fill="FFFFFF"/>
        </w:rPr>
        <w:t xml:space="preserve"> important, des particules traversent le compteur sans être détectées</w:t>
      </w:r>
      <w:r w:rsidRPr="005E2ED4">
        <w:rPr>
          <w:shd w:val="clear" w:color="auto" w:fill="FFFFFF"/>
        </w:rPr>
        <w:t>.</w:t>
      </w:r>
      <w:r w:rsidR="005E2ED4" w:rsidRPr="005E2ED4">
        <w:rPr>
          <w:shd w:val="clear" w:color="auto" w:fill="FFFFFF"/>
        </w:rPr>
        <w:t xml:space="preserve"> </w:t>
      </w:r>
    </w:p>
    <w:p w:rsidR="00F538A0" w:rsidRDefault="00F538A0" w:rsidP="00916E9B">
      <w:pPr>
        <w:pStyle w:val="Paragraphedeliste"/>
        <w:rPr>
          <w:shd w:val="clear" w:color="auto" w:fill="FFFFFF"/>
        </w:rPr>
      </w:pPr>
    </w:p>
    <w:p w:rsidR="00F538A0" w:rsidRDefault="005E2ED4" w:rsidP="00916E9B">
      <w:pPr>
        <w:pStyle w:val="Paragraphedeliste"/>
        <w:rPr>
          <w:shd w:val="clear" w:color="auto" w:fill="FFFFFF"/>
        </w:rPr>
      </w:pPr>
      <w:r w:rsidRPr="005E2ED4">
        <w:rPr>
          <w:shd w:val="clear" w:color="auto" w:fill="FFFFFF"/>
        </w:rPr>
        <w:t>Le compteur Geiger est donc un appareil beaucoup plus sensible que les autres chambres. Il est souvent utilisé dans la détection des rayons gamma de bas niveau et des particules bêta pour cette raison.</w:t>
      </w:r>
      <w:r w:rsidR="00D4105A" w:rsidRPr="005E2ED4">
        <w:rPr>
          <w:shd w:val="clear" w:color="auto" w:fill="FFFFFF"/>
        </w:rPr>
        <w:t xml:space="preserve"> </w:t>
      </w:r>
    </w:p>
    <w:p w:rsidR="00F538A0" w:rsidRDefault="00F538A0" w:rsidP="00916E9B">
      <w:pPr>
        <w:pStyle w:val="Paragraphedeliste"/>
        <w:rPr>
          <w:shd w:val="clear" w:color="auto" w:fill="FFFFFF"/>
        </w:rPr>
      </w:pPr>
    </w:p>
    <w:p w:rsidR="00D42C7A" w:rsidRPr="00654EE8" w:rsidRDefault="00D4105A" w:rsidP="00916E9B">
      <w:pPr>
        <w:pStyle w:val="Paragraphedeliste"/>
      </w:pPr>
      <w:r w:rsidRPr="005E2ED4">
        <w:rPr>
          <w:shd w:val="clear" w:color="auto" w:fill="FFFFFF"/>
        </w:rPr>
        <w:t>Par</w:t>
      </w:r>
      <w:r w:rsidRPr="00D4105A">
        <w:rPr>
          <w:color w:val="202122"/>
          <w:shd w:val="clear" w:color="auto" w:fill="FFFFFF"/>
        </w:rPr>
        <w:t xml:space="preserve"> ailleurs, le facteur d'amplification est tel que toutes les impulsions sont à la hauteur maximale, il n'est pas possible de distinguer les différents types de particules</w:t>
      </w:r>
      <w:r w:rsidR="005E2ED4" w:rsidRPr="00654EE8">
        <w:rPr>
          <w:color w:val="202122"/>
          <w:shd w:val="clear" w:color="auto" w:fill="FFFFFF"/>
        </w:rPr>
        <w:t xml:space="preserve">. </w:t>
      </w:r>
      <w:r w:rsidR="002674F7" w:rsidRPr="00654EE8">
        <w:rPr>
          <w:color w:val="000000"/>
          <w:shd w:val="clear" w:color="auto" w:fill="FFFFEE"/>
        </w:rPr>
        <w:t>Toutefois, il existe une astuce permettant de distinguer avec plus ou moins de précision les types de rayonnements.</w:t>
      </w:r>
      <w:r w:rsidR="00B715C7" w:rsidRPr="00654EE8">
        <w:t xml:space="preserve">  </w:t>
      </w:r>
      <w:r w:rsidR="002674F7" w:rsidRPr="00654EE8">
        <w:rPr>
          <w:color w:val="000000"/>
          <w:shd w:val="clear" w:color="auto" w:fill="FFFFEE"/>
        </w:rPr>
        <w:t xml:space="preserve">Les rayonnements peuvent être arrêtés par des obstacles placés sur leur parcours. Ainsi, le rayonnement Alpha est arrêté par une simple feuille </w:t>
      </w:r>
      <w:r w:rsidR="00AE0299">
        <w:rPr>
          <w:color w:val="000000"/>
          <w:shd w:val="clear" w:color="auto" w:fill="FFFFEE"/>
        </w:rPr>
        <w:t>de papier</w:t>
      </w:r>
      <w:r w:rsidR="002674F7" w:rsidRPr="00654EE8">
        <w:rPr>
          <w:color w:val="000000"/>
          <w:shd w:val="clear" w:color="auto" w:fill="FFFFEE"/>
        </w:rPr>
        <w:t xml:space="preserve">. Pour le rayonnement Beta, une feuille </w:t>
      </w:r>
      <w:r w:rsidR="00AE0299">
        <w:rPr>
          <w:color w:val="000000"/>
          <w:shd w:val="clear" w:color="auto" w:fill="FFFFEE"/>
        </w:rPr>
        <w:t>d’aluminium peut</w:t>
      </w:r>
      <w:r w:rsidR="002674F7" w:rsidRPr="00654EE8">
        <w:rPr>
          <w:color w:val="000000"/>
          <w:shd w:val="clear" w:color="auto" w:fill="FFFFEE"/>
        </w:rPr>
        <w:t xml:space="preserve"> les arrêter. Par contre, pour le rayonnement gamma, l’épaisseur du matériau à placer pour les arrêter devient vite trop importante pour qu’on puisse envisager de mettre un tel obstacle dans un compteur portatif</w:t>
      </w:r>
      <w:r w:rsidR="00654EE8" w:rsidRPr="00654EE8">
        <w:rPr>
          <w:color w:val="000000"/>
          <w:shd w:val="clear" w:color="auto" w:fill="FFFFEE"/>
        </w:rPr>
        <w:t>. Faites une mesure en mettant un obstacle ne laissant passer que le rayonnement Gamma. Puis refaite la mesure en retirant l’obstacle. En supposant que la source de rayonnement soit constante, vous pourrez par différence connaître le rayonnement Beta et Alpha. Le même raisonnement s’applique pour distinguer le rayonnement Alpha du rayonnement Beta et Gamma.</w:t>
      </w:r>
    </w:p>
    <w:p w:rsidR="005E2ED4" w:rsidRDefault="005E2ED4" w:rsidP="00E43B4D">
      <w:pPr>
        <w:rPr>
          <w:rFonts w:ascii="Calibri" w:hAnsi="Calibri"/>
          <w:b/>
          <w:sz w:val="28"/>
        </w:rPr>
      </w:pPr>
    </w:p>
    <w:p w:rsidR="00F538A0" w:rsidRDefault="00F538A0" w:rsidP="00E43B4D">
      <w:pPr>
        <w:rPr>
          <w:rFonts w:ascii="Calibri" w:hAnsi="Calibri"/>
          <w:b/>
          <w:sz w:val="28"/>
        </w:rPr>
      </w:pPr>
    </w:p>
    <w:p w:rsidR="00F538A0" w:rsidRDefault="00F538A0" w:rsidP="00E43B4D">
      <w:pPr>
        <w:rPr>
          <w:rFonts w:ascii="Calibri" w:hAnsi="Calibri"/>
          <w:b/>
          <w:sz w:val="28"/>
        </w:rPr>
      </w:pPr>
    </w:p>
    <w:p w:rsidR="00F538A0" w:rsidRDefault="00F538A0" w:rsidP="00E43B4D">
      <w:pPr>
        <w:rPr>
          <w:rFonts w:ascii="Calibri" w:hAnsi="Calibri"/>
          <w:b/>
          <w:sz w:val="28"/>
        </w:rPr>
      </w:pPr>
    </w:p>
    <w:p w:rsidR="00F538A0" w:rsidRDefault="00F538A0" w:rsidP="00E43B4D">
      <w:pPr>
        <w:rPr>
          <w:rFonts w:ascii="Calibri" w:hAnsi="Calibri"/>
          <w:b/>
          <w:sz w:val="28"/>
        </w:rPr>
      </w:pPr>
    </w:p>
    <w:p w:rsidR="00F538A0" w:rsidRDefault="00F538A0" w:rsidP="00E43B4D">
      <w:pPr>
        <w:rPr>
          <w:rFonts w:ascii="Calibri" w:hAnsi="Calibri"/>
          <w:b/>
          <w:sz w:val="28"/>
        </w:rPr>
      </w:pPr>
    </w:p>
    <w:p w:rsidR="00F538A0" w:rsidRDefault="00F538A0" w:rsidP="00E43B4D">
      <w:pPr>
        <w:rPr>
          <w:rFonts w:ascii="Calibri" w:hAnsi="Calibri"/>
          <w:b/>
          <w:sz w:val="28"/>
        </w:rPr>
      </w:pPr>
    </w:p>
    <w:p w:rsidR="00F538A0" w:rsidRDefault="00F538A0" w:rsidP="00E43B4D">
      <w:pPr>
        <w:rPr>
          <w:rFonts w:ascii="Calibri" w:hAnsi="Calibri"/>
          <w:b/>
          <w:sz w:val="28"/>
        </w:rPr>
      </w:pPr>
    </w:p>
    <w:p w:rsidR="00F538A0" w:rsidRDefault="00F538A0" w:rsidP="00E43B4D">
      <w:pPr>
        <w:rPr>
          <w:rFonts w:ascii="Calibri" w:hAnsi="Calibri"/>
          <w:b/>
          <w:sz w:val="28"/>
        </w:rPr>
      </w:pPr>
    </w:p>
    <w:p w:rsidR="00F538A0" w:rsidRDefault="00F538A0" w:rsidP="00E43B4D">
      <w:pPr>
        <w:rPr>
          <w:rFonts w:ascii="Calibri" w:hAnsi="Calibri"/>
          <w:b/>
          <w:sz w:val="28"/>
        </w:rPr>
      </w:pPr>
    </w:p>
    <w:p w:rsidR="00F538A0" w:rsidRPr="00E43B4D" w:rsidRDefault="00F538A0" w:rsidP="00E43B4D">
      <w:pPr>
        <w:rPr>
          <w:rFonts w:ascii="Calibri" w:hAnsi="Calibri"/>
          <w:b/>
          <w:sz w:val="28"/>
        </w:rPr>
      </w:pPr>
    </w:p>
    <w:p w:rsidR="004D2E93" w:rsidRPr="007843EA" w:rsidRDefault="00D42C7A" w:rsidP="004D2E93">
      <w:pPr>
        <w:pStyle w:val="Paragraphedeliste"/>
        <w:numPr>
          <w:ilvl w:val="1"/>
          <w:numId w:val="18"/>
        </w:numPr>
        <w:rPr>
          <w:rFonts w:ascii="Calibri" w:hAnsi="Calibri"/>
          <w:b/>
          <w:sz w:val="28"/>
        </w:rPr>
      </w:pPr>
      <w:r>
        <w:rPr>
          <w:rFonts w:ascii="Calibri" w:hAnsi="Calibri"/>
          <w:b/>
          <w:sz w:val="28"/>
        </w:rPr>
        <w:t>Chambre d’ionisation</w:t>
      </w:r>
    </w:p>
    <w:p w:rsidR="00065D2D" w:rsidRDefault="00065D2D" w:rsidP="00AA5167">
      <w:pPr>
        <w:spacing w:before="120" w:after="120"/>
        <w:ind w:left="720"/>
        <w:rPr>
          <w:color w:val="202122"/>
          <w:shd w:val="clear" w:color="auto" w:fill="FFFFFF"/>
        </w:rPr>
      </w:pPr>
      <w:r w:rsidRPr="00065D2D">
        <w:rPr>
          <w:color w:val="202122"/>
          <w:shd w:val="clear" w:color="auto" w:fill="FFFFFF"/>
        </w:rPr>
        <w:lastRenderedPageBreak/>
        <w:t>Une </w:t>
      </w:r>
      <w:r w:rsidRPr="00065D2D">
        <w:rPr>
          <w:b/>
          <w:bCs/>
          <w:color w:val="202122"/>
          <w:shd w:val="clear" w:color="auto" w:fill="FFFFFF"/>
        </w:rPr>
        <w:t>chambre d'ionisation</w:t>
      </w:r>
      <w:r w:rsidRPr="00065D2D">
        <w:rPr>
          <w:color w:val="202122"/>
          <w:shd w:val="clear" w:color="auto" w:fill="FFFFFF"/>
        </w:rPr>
        <w:t> est un </w:t>
      </w:r>
      <w:r w:rsidRPr="00065D2D">
        <w:rPr>
          <w:shd w:val="clear" w:color="auto" w:fill="FFFFFF"/>
        </w:rPr>
        <w:t xml:space="preserve">détecteur de </w:t>
      </w:r>
      <w:r>
        <w:rPr>
          <w:shd w:val="clear" w:color="auto" w:fill="FFFFFF"/>
        </w:rPr>
        <w:t>rayonnement ionisant</w:t>
      </w:r>
      <w:r w:rsidRPr="00065D2D">
        <w:rPr>
          <w:color w:val="202122"/>
          <w:shd w:val="clear" w:color="auto" w:fill="FFFFFF"/>
        </w:rPr>
        <w:t> qui repère le passage d’une </w:t>
      </w:r>
      <w:r w:rsidRPr="00065D2D">
        <w:rPr>
          <w:shd w:val="clear" w:color="auto" w:fill="FFFFFF"/>
        </w:rPr>
        <w:t>particule</w:t>
      </w:r>
      <w:r w:rsidRPr="00065D2D">
        <w:rPr>
          <w:color w:val="202122"/>
          <w:shd w:val="clear" w:color="auto" w:fill="FFFFFF"/>
        </w:rPr>
        <w:t> en mesurant la charge totale des </w:t>
      </w:r>
      <w:r w:rsidRPr="00065D2D">
        <w:rPr>
          <w:shd w:val="clear" w:color="auto" w:fill="FFFFFF"/>
        </w:rPr>
        <w:t>électrons</w:t>
      </w:r>
      <w:r w:rsidRPr="00065D2D">
        <w:rPr>
          <w:color w:val="202122"/>
          <w:shd w:val="clear" w:color="auto" w:fill="FFFFFF"/>
        </w:rPr>
        <w:t> et des </w:t>
      </w:r>
      <w:r w:rsidRPr="00065D2D">
        <w:rPr>
          <w:shd w:val="clear" w:color="auto" w:fill="FFFFFF"/>
        </w:rPr>
        <w:t>ions</w:t>
      </w:r>
      <w:r w:rsidRPr="00065D2D">
        <w:rPr>
          <w:color w:val="202122"/>
          <w:shd w:val="clear" w:color="auto" w:fill="FFFFFF"/>
        </w:rPr>
        <w:t> produits lors de l’ionisation du milieu gazeux par la particule.</w:t>
      </w:r>
      <w:r w:rsidR="00AA5167" w:rsidRPr="00AA5167">
        <w:rPr>
          <w:rFonts w:ascii="Arial" w:hAnsi="Arial" w:cs="Arial"/>
          <w:color w:val="202122"/>
          <w:sz w:val="10"/>
          <w:szCs w:val="10"/>
          <w:shd w:val="clear" w:color="auto" w:fill="FFFFFF"/>
        </w:rPr>
        <w:t xml:space="preserve"> </w:t>
      </w:r>
      <w:r w:rsidR="00AA5167" w:rsidRPr="00AA5167">
        <w:rPr>
          <w:color w:val="202122"/>
          <w:shd w:val="clear" w:color="auto" w:fill="FFFFFF"/>
        </w:rPr>
        <w:t>Pour récupérer les électrons et les ions avant qu’ils ne se recombinent en </w:t>
      </w:r>
      <w:r w:rsidR="00AA5167" w:rsidRPr="00AA5167">
        <w:rPr>
          <w:shd w:val="clear" w:color="auto" w:fill="FFFFFF"/>
        </w:rPr>
        <w:t>atomes</w:t>
      </w:r>
      <w:r w:rsidR="00AA5167" w:rsidRPr="00AA5167">
        <w:rPr>
          <w:color w:val="202122"/>
          <w:shd w:val="clear" w:color="auto" w:fill="FFFFFF"/>
        </w:rPr>
        <w:t>, la présence d’un </w:t>
      </w:r>
      <w:r w:rsidR="00AA5167" w:rsidRPr="00AA5167">
        <w:rPr>
          <w:shd w:val="clear" w:color="auto" w:fill="FFFFFF"/>
        </w:rPr>
        <w:t>champ électrique</w:t>
      </w:r>
      <w:r w:rsidR="00AA5167" w:rsidRPr="00AA5167">
        <w:rPr>
          <w:color w:val="202122"/>
          <w:shd w:val="clear" w:color="auto" w:fill="FFFFFF"/>
        </w:rPr>
        <w:t> est requise pour les séparer et les faire dériver vers des </w:t>
      </w:r>
      <w:r w:rsidR="00AA5167" w:rsidRPr="00AA5167">
        <w:rPr>
          <w:shd w:val="clear" w:color="auto" w:fill="FFFFFF"/>
        </w:rPr>
        <w:t>électrodes</w:t>
      </w:r>
      <w:r w:rsidR="00AA5167" w:rsidRPr="00AA5167">
        <w:rPr>
          <w:color w:val="202122"/>
          <w:shd w:val="clear" w:color="auto" w:fill="FFFFFF"/>
        </w:rPr>
        <w:t>. Les charges (électrons et ions) en dérivant induisent des courants sur les </w:t>
      </w:r>
      <w:r w:rsidR="00AA5167" w:rsidRPr="00AA5167">
        <w:rPr>
          <w:shd w:val="clear" w:color="auto" w:fill="FFFFFF"/>
        </w:rPr>
        <w:t>électrodes</w:t>
      </w:r>
      <w:r w:rsidR="00AA5167" w:rsidRPr="00AA5167">
        <w:rPr>
          <w:color w:val="202122"/>
          <w:shd w:val="clear" w:color="auto" w:fill="FFFFFF"/>
        </w:rPr>
        <w:t>. Ces courants sont détectés par un </w:t>
      </w:r>
      <w:r w:rsidR="00AA5167" w:rsidRPr="00AA5167">
        <w:rPr>
          <w:shd w:val="clear" w:color="auto" w:fill="FFFFFF"/>
        </w:rPr>
        <w:t>amplificateur</w:t>
      </w:r>
      <w:r w:rsidR="00AA5167" w:rsidRPr="00AA5167">
        <w:rPr>
          <w:color w:val="202122"/>
          <w:shd w:val="clear" w:color="auto" w:fill="FFFFFF"/>
        </w:rPr>
        <w:t> qui produit un signal électrique.</w:t>
      </w:r>
    </w:p>
    <w:p w:rsidR="00EB7B96" w:rsidRPr="00AA5167" w:rsidRDefault="00065D2D" w:rsidP="00AA5167">
      <w:pPr>
        <w:spacing w:before="120" w:after="120"/>
        <w:ind w:left="720"/>
        <w:rPr>
          <w:b/>
          <w:bCs/>
          <w:bdr w:val="none" w:sz="0" w:space="0" w:color="auto" w:frame="1"/>
          <w:shd w:val="clear" w:color="auto" w:fill="FFFFFF"/>
        </w:rPr>
      </w:pPr>
      <w:r w:rsidRPr="00EB7B96">
        <w:rPr>
          <w:bdr w:val="none" w:sz="0" w:space="0" w:color="auto" w:frame="1"/>
          <w:shd w:val="clear" w:color="auto" w:fill="FFFFFF"/>
        </w:rPr>
        <w:t xml:space="preserve"> </w:t>
      </w:r>
      <w:r w:rsidR="004D2E93" w:rsidRPr="00EB7B96">
        <w:rPr>
          <w:bdr w:val="none" w:sz="0" w:space="0" w:color="auto" w:frame="1"/>
          <w:shd w:val="clear" w:color="auto" w:fill="FFFFFF"/>
        </w:rPr>
        <w:t>La tension du détecteur est ajustée pour que les conditions correspondent à la  </w:t>
      </w:r>
      <w:r w:rsidR="004D2E93" w:rsidRPr="00EB7B96">
        <w:rPr>
          <w:rStyle w:val="lev"/>
          <w:bdr w:val="none" w:sz="0" w:space="0" w:color="auto" w:frame="1"/>
        </w:rPr>
        <w:t>région d’ionisation</w:t>
      </w:r>
      <w:r w:rsidR="004D2E93" w:rsidRPr="00AA5167">
        <w:rPr>
          <w:bdr w:val="none" w:sz="0" w:space="0" w:color="auto" w:frame="1"/>
          <w:shd w:val="clear" w:color="auto" w:fill="FFFFFF"/>
        </w:rPr>
        <w:t> </w:t>
      </w:r>
      <w:r w:rsidR="00AA5167">
        <w:rPr>
          <w:bdr w:val="none" w:sz="0" w:space="0" w:color="auto" w:frame="1"/>
          <w:shd w:val="clear" w:color="auto" w:fill="FFFFFF"/>
        </w:rPr>
        <w:t>(</w:t>
      </w:r>
      <w:r w:rsidR="00AA5167" w:rsidRPr="00AA5167">
        <w:rPr>
          <w:rFonts w:cs="Arial"/>
          <w:color w:val="202122"/>
          <w:szCs w:val="10"/>
          <w:shd w:val="clear" w:color="auto" w:fill="FFFFFF"/>
        </w:rPr>
        <w:t>On obtient un signal qui reflète la charge totale d’ionisation</w:t>
      </w:r>
      <w:r w:rsidR="00AA5167">
        <w:rPr>
          <w:rFonts w:cs="Arial"/>
          <w:color w:val="202122"/>
          <w:szCs w:val="10"/>
          <w:shd w:val="clear" w:color="auto" w:fill="FFFFFF"/>
        </w:rPr>
        <w:t>)</w:t>
      </w:r>
      <w:r w:rsidR="00AA5167" w:rsidRPr="00AA5167">
        <w:rPr>
          <w:rFonts w:cs="Arial"/>
          <w:color w:val="202122"/>
          <w:szCs w:val="10"/>
          <w:shd w:val="clear" w:color="auto" w:fill="FFFFFF"/>
        </w:rPr>
        <w:t>.</w:t>
      </w:r>
    </w:p>
    <w:p w:rsidR="00EB7B96" w:rsidRDefault="00EB7B96" w:rsidP="00EB7B96">
      <w:pPr>
        <w:spacing w:before="120" w:after="120"/>
        <w:ind w:left="720"/>
        <w:rPr>
          <w:rStyle w:val="lev"/>
          <w:bdr w:val="none" w:sz="0" w:space="0" w:color="auto" w:frame="1"/>
          <w:shd w:val="clear" w:color="auto" w:fill="FFFFFF"/>
        </w:rPr>
      </w:pPr>
      <w:r>
        <w:rPr>
          <w:bdr w:val="none" w:sz="0" w:space="0" w:color="auto" w:frame="1"/>
          <w:shd w:val="clear" w:color="auto" w:fill="FFFFFF"/>
        </w:rPr>
        <w:t>Contrairement au compteur Geiger-Müller, l</w:t>
      </w:r>
      <w:r w:rsidR="004D2E93" w:rsidRPr="00EB7B96">
        <w:rPr>
          <w:bdr w:val="none" w:sz="0" w:space="0" w:color="auto" w:frame="1"/>
          <w:shd w:val="clear" w:color="auto" w:fill="FFFFFF"/>
        </w:rPr>
        <w:t xml:space="preserve">a tension n’est pas suffisamment élevée </w:t>
      </w:r>
      <w:r w:rsidR="00654EE8">
        <w:rPr>
          <w:bdr w:val="none" w:sz="0" w:space="0" w:color="auto" w:frame="1"/>
          <w:shd w:val="clear" w:color="auto" w:fill="FFFFFF"/>
        </w:rPr>
        <w:t>et ne peut pas</w:t>
      </w:r>
      <w:r w:rsidR="004D2E93" w:rsidRPr="00EB7B96">
        <w:rPr>
          <w:bdr w:val="none" w:sz="0" w:space="0" w:color="auto" w:frame="1"/>
          <w:shd w:val="clear" w:color="auto" w:fill="FFFFFF"/>
        </w:rPr>
        <w:t xml:space="preserve"> produire une amplification de gaz (</w:t>
      </w:r>
      <w:r>
        <w:rPr>
          <w:bdr w:val="none" w:sz="0" w:space="0" w:color="auto" w:frame="1"/>
          <w:shd w:val="clear" w:color="auto" w:fill="FFFFFF"/>
        </w:rPr>
        <w:t>pas d’</w:t>
      </w:r>
      <w:r w:rsidR="004D2E93" w:rsidRPr="00EB7B96">
        <w:rPr>
          <w:bdr w:val="none" w:sz="0" w:space="0" w:color="auto" w:frame="1"/>
          <w:shd w:val="clear" w:color="auto" w:fill="FFFFFF"/>
        </w:rPr>
        <w:t>ionisation secondaire</w:t>
      </w:r>
      <w:r>
        <w:rPr>
          <w:bdr w:val="none" w:sz="0" w:space="0" w:color="auto" w:frame="1"/>
          <w:shd w:val="clear" w:color="auto" w:fill="FFFFFF"/>
        </w:rPr>
        <w:t xml:space="preserve"> en cascade</w:t>
      </w:r>
      <w:r w:rsidR="004D2E93" w:rsidRPr="00EB7B96">
        <w:rPr>
          <w:bdr w:val="none" w:sz="0" w:space="0" w:color="auto" w:frame="1"/>
          <w:shd w:val="clear" w:color="auto" w:fill="FFFFFF"/>
        </w:rPr>
        <w:t>).</w:t>
      </w:r>
      <w:r w:rsidR="004D2E93" w:rsidRPr="00EB7B96">
        <w:rPr>
          <w:rStyle w:val="lev"/>
          <w:bdr w:val="none" w:sz="0" w:space="0" w:color="auto" w:frame="1"/>
          <w:shd w:val="clear" w:color="auto" w:fill="FFFFFF"/>
        </w:rPr>
        <w:t> </w:t>
      </w:r>
    </w:p>
    <w:p w:rsidR="00E66328" w:rsidRPr="00E66328" w:rsidRDefault="00E66328" w:rsidP="00EB7B96">
      <w:pPr>
        <w:spacing w:before="120" w:after="120"/>
        <w:ind w:left="720"/>
        <w:rPr>
          <w:bdr w:val="none" w:sz="0" w:space="0" w:color="auto" w:frame="1"/>
          <w:shd w:val="clear" w:color="auto" w:fill="FFFFFF"/>
        </w:rPr>
      </w:pPr>
      <w:r w:rsidRPr="00E66328">
        <w:rPr>
          <w:color w:val="202122"/>
          <w:shd w:val="clear" w:color="auto" w:fill="FFFFFF"/>
        </w:rPr>
        <w:t>Les signaux sont assez faibles parce qu’il n’y pas d’amplification des charges dans le détecteur, et des amplificateurs spéciaux à bas bruit sont nécessaires.</w:t>
      </w:r>
    </w:p>
    <w:p w:rsidR="00E66328" w:rsidRPr="00E66328" w:rsidRDefault="00E66328" w:rsidP="00EB7B96">
      <w:pPr>
        <w:spacing w:before="120" w:after="120"/>
        <w:ind w:left="720"/>
        <w:rPr>
          <w:bdr w:val="none" w:sz="0" w:space="0" w:color="auto" w:frame="1"/>
          <w:shd w:val="clear" w:color="auto" w:fill="FFFFFF"/>
        </w:rPr>
      </w:pPr>
      <w:r w:rsidRPr="00E66328">
        <w:rPr>
          <w:color w:val="202122"/>
          <w:shd w:val="clear" w:color="auto" w:fill="FFFFFF"/>
        </w:rPr>
        <w:t>Ils ont une excellente résolution en énergie et le signal mesuré est assez proportionnel à la charge déposée (bonne linéarité)</w:t>
      </w:r>
      <w:r>
        <w:rPr>
          <w:color w:val="202122"/>
          <w:shd w:val="clear" w:color="auto" w:fill="FFFFFF"/>
        </w:rPr>
        <w:t>.</w:t>
      </w:r>
    </w:p>
    <w:p w:rsidR="00D42C7A" w:rsidRPr="007843EA" w:rsidRDefault="004D2E93" w:rsidP="007843EA">
      <w:pPr>
        <w:spacing w:before="120" w:after="120"/>
        <w:ind w:left="720"/>
      </w:pPr>
      <w:r w:rsidRPr="00EB7B96">
        <w:rPr>
          <w:shd w:val="clear" w:color="auto" w:fill="FFFFFF"/>
        </w:rPr>
        <w:t xml:space="preserve">Les </w:t>
      </w:r>
      <w:r w:rsidR="00E66328">
        <w:rPr>
          <w:shd w:val="clear" w:color="auto" w:fill="FFFFFF"/>
        </w:rPr>
        <w:t>chambres d’ionisation</w:t>
      </w:r>
      <w:r w:rsidRPr="00EB7B96">
        <w:rPr>
          <w:shd w:val="clear" w:color="auto" w:fill="FFFFFF"/>
        </w:rPr>
        <w:t xml:space="preserve"> peuvent être utilisé</w:t>
      </w:r>
      <w:r w:rsidR="00E66328">
        <w:rPr>
          <w:shd w:val="clear" w:color="auto" w:fill="FFFFFF"/>
        </w:rPr>
        <w:t>e</w:t>
      </w:r>
      <w:r w:rsidRPr="00EB7B96">
        <w:rPr>
          <w:shd w:val="clear" w:color="auto" w:fill="FFFFFF"/>
        </w:rPr>
        <w:t xml:space="preserve">s à la </w:t>
      </w:r>
      <w:r w:rsidR="00EB7B96">
        <w:rPr>
          <w:shd w:val="clear" w:color="auto" w:fill="FFFFFF"/>
        </w:rPr>
        <w:t>fois pour les mesures de dose ainsi que pour les</w:t>
      </w:r>
      <w:r w:rsidRPr="00EB7B96">
        <w:rPr>
          <w:shd w:val="clear" w:color="auto" w:fill="FFFFFF"/>
        </w:rPr>
        <w:t xml:space="preserve"> mesure</w:t>
      </w:r>
      <w:r w:rsidR="00EB7B96">
        <w:rPr>
          <w:shd w:val="clear" w:color="auto" w:fill="FFFFFF"/>
        </w:rPr>
        <w:t>s de débit</w:t>
      </w:r>
      <w:r w:rsidRPr="00EB7B96">
        <w:rPr>
          <w:shd w:val="clear" w:color="auto" w:fill="FFFFFF"/>
        </w:rPr>
        <w:t xml:space="preserve"> de dose.</w:t>
      </w:r>
      <w:r w:rsidR="00D42C7A" w:rsidRPr="004D2E93">
        <w:rPr>
          <w:rFonts w:ascii="Calibri" w:hAnsi="Calibri"/>
          <w:b/>
          <w:sz w:val="28"/>
        </w:rPr>
        <w:br/>
      </w:r>
    </w:p>
    <w:p w:rsidR="00E707B5" w:rsidRDefault="00D42C7A" w:rsidP="00D42C7A">
      <w:pPr>
        <w:pStyle w:val="Paragraphedeliste"/>
        <w:numPr>
          <w:ilvl w:val="1"/>
          <w:numId w:val="18"/>
        </w:numPr>
        <w:rPr>
          <w:rFonts w:ascii="Calibri" w:hAnsi="Calibri"/>
          <w:b/>
          <w:sz w:val="28"/>
        </w:rPr>
      </w:pPr>
      <w:r>
        <w:rPr>
          <w:rFonts w:ascii="Calibri" w:hAnsi="Calibri"/>
          <w:b/>
          <w:sz w:val="28"/>
        </w:rPr>
        <w:t>Ecran renforçateur</w:t>
      </w:r>
      <w:r>
        <w:rPr>
          <w:rFonts w:ascii="Calibri" w:hAnsi="Calibri"/>
          <w:b/>
          <w:sz w:val="28"/>
        </w:rPr>
        <w:br/>
      </w:r>
    </w:p>
    <w:p w:rsidR="003738CC" w:rsidRDefault="00E707B5" w:rsidP="00F3424C">
      <w:pPr>
        <w:pStyle w:val="NormalWeb"/>
        <w:shd w:val="clear" w:color="auto" w:fill="FFFFFF"/>
        <w:spacing w:before="82" w:beforeAutospacing="0" w:after="82" w:afterAutospacing="0"/>
        <w:ind w:left="720"/>
        <w:rPr>
          <w:color w:val="0F1419"/>
          <w:lang w:val="fr-BE"/>
        </w:rPr>
      </w:pPr>
      <w:r w:rsidRPr="004C2A72">
        <w:rPr>
          <w:color w:val="0F1419"/>
          <w:lang w:val="fr-BE"/>
        </w:rPr>
        <w:t>L'interaction d'un rayon X ave</w:t>
      </w:r>
      <w:r>
        <w:rPr>
          <w:color w:val="0F1419"/>
          <w:lang w:val="fr-BE"/>
        </w:rPr>
        <w:t>c l'écran renforçateur se fait</w:t>
      </w:r>
      <w:r w:rsidRPr="004C2A72">
        <w:rPr>
          <w:color w:val="0F1419"/>
          <w:lang w:val="fr-BE"/>
        </w:rPr>
        <w:t xml:space="preserve"> par le transfert d'énergie vers des molécules du milieu</w:t>
      </w:r>
      <w:r>
        <w:rPr>
          <w:color w:val="0F1419"/>
          <w:lang w:val="fr-BE"/>
        </w:rPr>
        <w:t xml:space="preserve"> (</w:t>
      </w:r>
      <w:r w:rsidRPr="004C2A72">
        <w:rPr>
          <w:color w:val="0F1419"/>
          <w:lang w:val="fr-BE"/>
        </w:rPr>
        <w:t>terres rares, à savoir des lanthanides comme le gadoliniu</w:t>
      </w:r>
      <w:r>
        <w:rPr>
          <w:color w:val="0F1419"/>
          <w:lang w:val="fr-BE"/>
        </w:rPr>
        <w:t>m; le terbium ou l'europium)</w:t>
      </w:r>
      <w:r w:rsidRPr="004C2A72">
        <w:rPr>
          <w:color w:val="0F1419"/>
          <w:lang w:val="fr-BE"/>
        </w:rPr>
        <w:t xml:space="preserve"> qui se voient portées vers des niveaux excités. La désexcitation des niveaux moléculaires s'accompagne de l'émission de photons de lumière ce qui fait du phénomène une sorte de luminescence. La longueur d'onde, ou "couleur" des photons émis est caractéristique des atomes émetteurs, donc de la composition de l'écran renforçateur</w:t>
      </w:r>
      <w:r>
        <w:rPr>
          <w:color w:val="0F1419"/>
          <w:lang w:val="fr-BE"/>
        </w:rPr>
        <w:t xml:space="preserve">.  </w:t>
      </w:r>
      <w:r w:rsidRPr="004C2A72">
        <w:rPr>
          <w:color w:val="0F1419"/>
          <w:lang w:val="fr-BE"/>
        </w:rPr>
        <w:t xml:space="preserve">La lumière émise se situe </w:t>
      </w:r>
      <w:r>
        <w:rPr>
          <w:color w:val="0F1419"/>
          <w:lang w:val="fr-BE"/>
        </w:rPr>
        <w:t xml:space="preserve">ici </w:t>
      </w:r>
      <w:r w:rsidRPr="004C2A72">
        <w:rPr>
          <w:color w:val="0F1419"/>
          <w:lang w:val="fr-BE"/>
        </w:rPr>
        <w:t xml:space="preserve">plutôt dans le vert. L'efficacité d'un écran renforçateur est mesurée par son coefficient de conversion, défini comme le rapport de l'énergie lumineuse obtenue et de l'énergie X absorbée. </w:t>
      </w:r>
      <w:r>
        <w:rPr>
          <w:color w:val="0F1419"/>
          <w:lang w:val="fr-BE"/>
        </w:rPr>
        <w:t>L</w:t>
      </w:r>
      <w:r w:rsidRPr="004C2A72">
        <w:rPr>
          <w:color w:val="0F1419"/>
          <w:lang w:val="fr-BE"/>
        </w:rPr>
        <w:t>es écrans "terres rares" ont un coefficient proche de 25</w:t>
      </w:r>
      <w:r>
        <w:rPr>
          <w:color w:val="0F1419"/>
          <w:lang w:val="fr-BE"/>
        </w:rPr>
        <w:t>.</w:t>
      </w:r>
    </w:p>
    <w:p w:rsidR="003738CC" w:rsidRDefault="003738CC" w:rsidP="00F3424C">
      <w:pPr>
        <w:pStyle w:val="NormalWeb"/>
        <w:shd w:val="clear" w:color="auto" w:fill="FFFFFF"/>
        <w:spacing w:before="82" w:beforeAutospacing="0" w:after="82" w:afterAutospacing="0"/>
        <w:ind w:left="720"/>
        <w:rPr>
          <w:color w:val="0F1419"/>
          <w:lang w:val="fr-BE"/>
        </w:rPr>
      </w:pPr>
    </w:p>
    <w:p w:rsidR="003738CC" w:rsidRDefault="003738CC" w:rsidP="00F3424C">
      <w:pPr>
        <w:pStyle w:val="NormalWeb"/>
        <w:shd w:val="clear" w:color="auto" w:fill="FFFFFF"/>
        <w:spacing w:before="82" w:beforeAutospacing="0" w:after="82" w:afterAutospacing="0"/>
        <w:ind w:left="720"/>
        <w:rPr>
          <w:color w:val="0F1419"/>
          <w:lang w:val="fr-BE"/>
        </w:rPr>
      </w:pPr>
    </w:p>
    <w:p w:rsidR="003738CC" w:rsidRDefault="003738CC" w:rsidP="00F3424C">
      <w:pPr>
        <w:pStyle w:val="NormalWeb"/>
        <w:shd w:val="clear" w:color="auto" w:fill="FFFFFF"/>
        <w:spacing w:before="82" w:beforeAutospacing="0" w:after="82" w:afterAutospacing="0"/>
        <w:ind w:left="720"/>
        <w:rPr>
          <w:color w:val="0F1419"/>
          <w:lang w:val="fr-BE"/>
        </w:rPr>
      </w:pPr>
    </w:p>
    <w:p w:rsidR="003738CC" w:rsidRDefault="003738CC" w:rsidP="00F3424C">
      <w:pPr>
        <w:pStyle w:val="NormalWeb"/>
        <w:shd w:val="clear" w:color="auto" w:fill="FFFFFF"/>
        <w:spacing w:before="82" w:beforeAutospacing="0" w:after="82" w:afterAutospacing="0"/>
        <w:ind w:left="720"/>
        <w:rPr>
          <w:color w:val="0F1419"/>
          <w:lang w:val="fr-BE"/>
        </w:rPr>
      </w:pPr>
    </w:p>
    <w:p w:rsidR="003738CC" w:rsidRDefault="003738CC" w:rsidP="00F3424C">
      <w:pPr>
        <w:pStyle w:val="NormalWeb"/>
        <w:shd w:val="clear" w:color="auto" w:fill="FFFFFF"/>
        <w:spacing w:before="82" w:beforeAutospacing="0" w:after="82" w:afterAutospacing="0"/>
        <w:ind w:left="720"/>
        <w:rPr>
          <w:color w:val="0F1419"/>
          <w:lang w:val="fr-BE"/>
        </w:rPr>
      </w:pPr>
    </w:p>
    <w:p w:rsidR="003738CC" w:rsidRDefault="003738CC" w:rsidP="00F3424C">
      <w:pPr>
        <w:pStyle w:val="NormalWeb"/>
        <w:shd w:val="clear" w:color="auto" w:fill="FFFFFF"/>
        <w:spacing w:before="82" w:beforeAutospacing="0" w:after="82" w:afterAutospacing="0"/>
        <w:ind w:left="720"/>
        <w:rPr>
          <w:color w:val="0F1419"/>
          <w:lang w:val="fr-BE"/>
        </w:rPr>
      </w:pPr>
    </w:p>
    <w:p w:rsidR="003738CC" w:rsidRDefault="003738CC" w:rsidP="00F3424C">
      <w:pPr>
        <w:pStyle w:val="NormalWeb"/>
        <w:shd w:val="clear" w:color="auto" w:fill="FFFFFF"/>
        <w:spacing w:before="82" w:beforeAutospacing="0" w:after="82" w:afterAutospacing="0"/>
        <w:ind w:left="720"/>
        <w:rPr>
          <w:color w:val="0F1419"/>
          <w:lang w:val="fr-BE"/>
        </w:rPr>
      </w:pPr>
    </w:p>
    <w:p w:rsidR="00F538A0" w:rsidRDefault="00F538A0" w:rsidP="00F3424C">
      <w:pPr>
        <w:pStyle w:val="NormalWeb"/>
        <w:shd w:val="clear" w:color="auto" w:fill="FFFFFF"/>
        <w:spacing w:before="82" w:beforeAutospacing="0" w:after="82" w:afterAutospacing="0"/>
        <w:ind w:left="720"/>
        <w:rPr>
          <w:color w:val="0F1419"/>
          <w:lang w:val="fr-BE"/>
        </w:rPr>
      </w:pPr>
    </w:p>
    <w:p w:rsidR="00D42C7A" w:rsidRPr="00D25C21" w:rsidRDefault="00D42C7A" w:rsidP="00F3424C">
      <w:pPr>
        <w:pStyle w:val="NormalWeb"/>
        <w:shd w:val="clear" w:color="auto" w:fill="FFFFFF"/>
        <w:spacing w:before="82" w:beforeAutospacing="0" w:after="82" w:afterAutospacing="0"/>
        <w:ind w:left="720"/>
        <w:rPr>
          <w:color w:val="0F1419"/>
          <w:sz w:val="9"/>
          <w:szCs w:val="9"/>
          <w:lang w:val="fr-BE"/>
        </w:rPr>
      </w:pPr>
      <w:r w:rsidRPr="00D25C21">
        <w:rPr>
          <w:rFonts w:ascii="Calibri" w:hAnsi="Calibri"/>
          <w:b/>
          <w:sz w:val="28"/>
        </w:rPr>
        <w:br/>
      </w:r>
    </w:p>
    <w:p w:rsidR="00B227C4" w:rsidRDefault="00B227C4" w:rsidP="002F05DD">
      <w:pPr>
        <w:pStyle w:val="Titre1"/>
        <w:numPr>
          <w:ilvl w:val="0"/>
          <w:numId w:val="18"/>
        </w:numPr>
        <w:jc w:val="left"/>
        <w:rPr>
          <w:rFonts w:ascii="Times New Roman" w:hAnsi="Times New Roman" w:cs="Times New Roman"/>
          <w:color w:val="auto"/>
        </w:rPr>
      </w:pPr>
      <w:bookmarkStart w:id="6" w:name="_Toc70948784"/>
      <w:r>
        <w:rPr>
          <w:rFonts w:ascii="Times New Roman" w:hAnsi="Times New Roman" w:cs="Times New Roman"/>
          <w:color w:val="auto"/>
        </w:rPr>
        <w:t>Calibration / Inter-comparaison</w:t>
      </w:r>
      <w:bookmarkEnd w:id="6"/>
      <w:r>
        <w:rPr>
          <w:rFonts w:ascii="Times New Roman" w:hAnsi="Times New Roman" w:cs="Times New Roman"/>
          <w:color w:val="auto"/>
        </w:rPr>
        <w:br/>
      </w:r>
    </w:p>
    <w:p w:rsidR="00B227C4" w:rsidRDefault="00B227C4" w:rsidP="00B227C4">
      <w:r>
        <w:t xml:space="preserve">Une inter-comparaison est réalisée 1X/an lors de la visite de l’expert de </w:t>
      </w:r>
      <w:proofErr w:type="spellStart"/>
      <w:r>
        <w:t>Contrôlatom</w:t>
      </w:r>
      <w:proofErr w:type="spellEnd"/>
      <w:r>
        <w:t>.</w:t>
      </w:r>
    </w:p>
    <w:p w:rsidR="00B227C4" w:rsidRDefault="00B227C4" w:rsidP="00B227C4">
      <w:r>
        <w:lastRenderedPageBreak/>
        <w:t>Si lors de cette inter-comparaison une différence notable de mesure est identifiée entre l’appareil de l’expert et celui du CHBA, l’appareil sera renvoyé pour calibration chez le fournisseur de l’appareil.  Cette inter-comparaison est consignée dans le rapport de l’expert.</w:t>
      </w:r>
    </w:p>
    <w:p w:rsidR="00B227C4" w:rsidRPr="00B227C4" w:rsidRDefault="00B227C4" w:rsidP="00B227C4"/>
    <w:p w:rsidR="00D42C7A" w:rsidRPr="002F05DD" w:rsidRDefault="00E707B5" w:rsidP="002F05DD">
      <w:pPr>
        <w:pStyle w:val="Titre1"/>
        <w:numPr>
          <w:ilvl w:val="0"/>
          <w:numId w:val="18"/>
        </w:numPr>
        <w:jc w:val="left"/>
        <w:rPr>
          <w:rFonts w:ascii="Times New Roman" w:hAnsi="Times New Roman" w:cs="Times New Roman"/>
          <w:color w:val="auto"/>
        </w:rPr>
      </w:pPr>
      <w:bookmarkStart w:id="7" w:name="_Toc70948785"/>
      <w:r w:rsidRPr="002F05DD">
        <w:rPr>
          <w:rFonts w:ascii="Times New Roman" w:hAnsi="Times New Roman" w:cs="Times New Roman"/>
          <w:color w:val="auto"/>
        </w:rPr>
        <w:t>Utilisation</w:t>
      </w:r>
      <w:bookmarkEnd w:id="7"/>
    </w:p>
    <w:p w:rsidR="00C96C66" w:rsidRDefault="00C96C66" w:rsidP="00C96C66">
      <w:pPr>
        <w:pStyle w:val="Paragraphedeliste"/>
        <w:ind w:left="360"/>
        <w:rPr>
          <w:rFonts w:ascii="Calibri" w:hAnsi="Calibri"/>
          <w:b/>
          <w:sz w:val="28"/>
        </w:rPr>
      </w:pPr>
    </w:p>
    <w:p w:rsidR="00D25C21" w:rsidRPr="00D25C21" w:rsidRDefault="00916E9B" w:rsidP="00D25C21">
      <w:pPr>
        <w:pStyle w:val="Titre1"/>
        <w:numPr>
          <w:ilvl w:val="1"/>
          <w:numId w:val="18"/>
        </w:numPr>
        <w:jc w:val="left"/>
        <w:rPr>
          <w:rFonts w:ascii="Times New Roman" w:hAnsi="Times New Roman" w:cs="Times New Roman"/>
          <w:color w:val="auto"/>
          <w:sz w:val="24"/>
          <w:szCs w:val="24"/>
        </w:rPr>
      </w:pPr>
      <w:bookmarkStart w:id="8" w:name="_Toc70948786"/>
      <w:r w:rsidRPr="00D25C21">
        <w:rPr>
          <w:rFonts w:ascii="Times New Roman" w:hAnsi="Times New Roman" w:cs="Times New Roman"/>
          <w:color w:val="auto"/>
          <w:sz w:val="24"/>
          <w:szCs w:val="24"/>
        </w:rPr>
        <w:t>Contaminamètre Mini 900</w:t>
      </w:r>
      <w:bookmarkEnd w:id="8"/>
      <w:r w:rsidRPr="00D25C21">
        <w:rPr>
          <w:rFonts w:ascii="Times New Roman" w:hAnsi="Times New Roman" w:cs="Times New Roman"/>
          <w:color w:val="auto"/>
          <w:sz w:val="24"/>
          <w:szCs w:val="24"/>
        </w:rPr>
        <w:br/>
      </w:r>
      <w:r w:rsidRPr="00D25C21">
        <w:rPr>
          <w:rFonts w:ascii="Times New Roman" w:hAnsi="Times New Roman" w:cs="Times New Roman"/>
          <w:color w:val="auto"/>
          <w:sz w:val="24"/>
          <w:szCs w:val="24"/>
        </w:rPr>
        <w:br/>
      </w:r>
    </w:p>
    <w:p w:rsidR="00D25C21" w:rsidRPr="00975178" w:rsidRDefault="00D25C21" w:rsidP="00D25C21">
      <w:pPr>
        <w:ind w:left="720"/>
        <w:jc w:val="both"/>
        <w:rPr>
          <w:rFonts w:ascii="Comic Sans MS" w:hAnsi="Comic Sans MS" w:cs="Arial"/>
        </w:rPr>
      </w:pPr>
    </w:p>
    <w:p w:rsidR="00D25C21" w:rsidRPr="00975178" w:rsidRDefault="00D25C21" w:rsidP="00D25C21">
      <w:pPr>
        <w:ind w:left="720"/>
        <w:jc w:val="center"/>
        <w:rPr>
          <w:rFonts w:ascii="Comic Sans MS" w:hAnsi="Comic Sans MS" w:cs="Arial"/>
        </w:rPr>
      </w:pPr>
      <w:r>
        <w:rPr>
          <w:rFonts w:ascii="Comic Sans MS" w:hAnsi="Comic Sans MS" w:cs="Arial"/>
          <w:noProof/>
          <w:lang w:val="en-GB" w:eastAsia="en-GB"/>
        </w:rPr>
        <w:drawing>
          <wp:inline distT="0" distB="0" distL="0" distR="0">
            <wp:extent cx="2743200" cy="2355215"/>
            <wp:effectExtent l="19050" t="0" r="0" b="0"/>
            <wp:docPr id="31"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cstate="print"/>
                    <a:srcRect/>
                    <a:stretch>
                      <a:fillRect/>
                    </a:stretch>
                  </pic:blipFill>
                  <pic:spPr bwMode="auto">
                    <a:xfrm>
                      <a:off x="0" y="0"/>
                      <a:ext cx="2743200" cy="2355215"/>
                    </a:xfrm>
                    <a:prstGeom prst="rect">
                      <a:avLst/>
                    </a:prstGeom>
                    <a:noFill/>
                    <a:ln w="9525">
                      <a:noFill/>
                      <a:miter lim="800000"/>
                      <a:headEnd/>
                      <a:tailEnd/>
                    </a:ln>
                  </pic:spPr>
                </pic:pic>
              </a:graphicData>
            </a:graphic>
          </wp:inline>
        </w:drawing>
      </w:r>
    </w:p>
    <w:p w:rsidR="00D25C21" w:rsidRPr="00975178" w:rsidRDefault="00D25C21" w:rsidP="00D25C21">
      <w:pPr>
        <w:ind w:left="720"/>
        <w:jc w:val="both"/>
        <w:rPr>
          <w:rFonts w:ascii="Comic Sans MS" w:hAnsi="Comic Sans MS" w:cs="Arial"/>
        </w:rPr>
      </w:pPr>
    </w:p>
    <w:p w:rsidR="00D25C21" w:rsidRPr="00D25C21" w:rsidRDefault="00D25C21" w:rsidP="00D25C21">
      <w:pPr>
        <w:numPr>
          <w:ilvl w:val="0"/>
          <w:numId w:val="4"/>
        </w:numPr>
        <w:jc w:val="both"/>
      </w:pPr>
      <w:r w:rsidRPr="00D25C21">
        <w:t>S’assurer que la batterie est toujours dans le vert,</w:t>
      </w:r>
    </w:p>
    <w:p w:rsidR="00D25C21" w:rsidRPr="00975178" w:rsidRDefault="00D25C21" w:rsidP="00D25C21">
      <w:pPr>
        <w:ind w:left="1080"/>
        <w:jc w:val="both"/>
        <w:rPr>
          <w:rFonts w:ascii="Comic Sans MS" w:hAnsi="Comic Sans MS" w:cs="Arial"/>
        </w:rPr>
      </w:pPr>
    </w:p>
    <w:p w:rsidR="00D25C21" w:rsidRPr="00975178" w:rsidRDefault="00640930" w:rsidP="00D25C21">
      <w:pPr>
        <w:jc w:val="both"/>
        <w:rPr>
          <w:rFonts w:ascii="Comic Sans MS" w:hAnsi="Comic Sans MS" w:cs="Arial"/>
        </w:rPr>
      </w:pPr>
      <w:r w:rsidRPr="00640930">
        <w:rPr>
          <w:rFonts w:ascii="Comic Sans MS" w:hAnsi="Comic Sans MS" w:cs="Arial"/>
          <w:noProof/>
          <w:lang w:val="fr-FR" w:eastAsia="en-US"/>
        </w:rPr>
        <w:pict>
          <v:shapetype id="_x0000_t202" coordsize="21600,21600" o:spt="202" path="m,l,21600r21600,l21600,xe">
            <v:stroke joinstyle="miter"/>
            <v:path gradientshapeok="t" o:connecttype="rect"/>
          </v:shapetype>
          <v:shape id="_x0000_s1050" type="#_x0000_t202" style="position:absolute;left:0;text-align:left;margin-left:142.2pt;margin-top:9.25pt;width:191.6pt;height:110pt;z-index:251689984;mso-width-percent:400;mso-height-percent:200;mso-width-percent:400;mso-height-percent:200;mso-width-relative:margin;mso-height-relative:margin" stroked="f">
            <v:textbox style="mso-next-textbox:#_x0000_s1050;mso-fit-shape-to-text:t">
              <w:txbxContent>
                <w:p w:rsidR="00AE0299" w:rsidRDefault="00AE0299" w:rsidP="00D25C21">
                  <w:pPr>
                    <w:rPr>
                      <w:lang w:val="fr-FR"/>
                    </w:rPr>
                  </w:pPr>
                  <w:r>
                    <w:rPr>
                      <w:noProof/>
                      <w:lang w:val="en-GB" w:eastAsia="en-GB"/>
                    </w:rPr>
                    <w:drawing>
                      <wp:inline distT="0" distB="0" distL="0" distR="0">
                        <wp:extent cx="2230120" cy="1306830"/>
                        <wp:effectExtent l="0" t="0" r="0" b="0"/>
                        <wp:docPr id="33"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srcRect/>
                                <a:stretch>
                                  <a:fillRect/>
                                </a:stretch>
                              </pic:blipFill>
                              <pic:spPr bwMode="auto">
                                <a:xfrm>
                                  <a:off x="0" y="0"/>
                                  <a:ext cx="2230120" cy="1306830"/>
                                </a:xfrm>
                                <a:prstGeom prst="rect">
                                  <a:avLst/>
                                </a:prstGeom>
                                <a:noFill/>
                                <a:ln w="9525">
                                  <a:noFill/>
                                  <a:miter lim="800000"/>
                                  <a:headEnd/>
                                  <a:tailEnd/>
                                </a:ln>
                              </pic:spPr>
                            </pic:pic>
                          </a:graphicData>
                        </a:graphic>
                      </wp:inline>
                    </w:drawing>
                  </w:r>
                </w:p>
              </w:txbxContent>
            </v:textbox>
          </v:shape>
        </w:pict>
      </w:r>
    </w:p>
    <w:p w:rsidR="00D25C21" w:rsidRPr="00975178" w:rsidRDefault="00D25C21" w:rsidP="00D25C21">
      <w:pPr>
        <w:jc w:val="both"/>
        <w:rPr>
          <w:rFonts w:ascii="Comic Sans MS" w:hAnsi="Comic Sans MS" w:cs="Arial"/>
        </w:rPr>
      </w:pPr>
    </w:p>
    <w:p w:rsidR="00D25C21" w:rsidRDefault="00D25C21" w:rsidP="00D25C21">
      <w:pPr>
        <w:jc w:val="both"/>
        <w:rPr>
          <w:rFonts w:ascii="Comic Sans MS" w:hAnsi="Comic Sans MS" w:cs="Arial"/>
        </w:rPr>
      </w:pPr>
    </w:p>
    <w:p w:rsidR="00D25C21" w:rsidRDefault="00D25C21" w:rsidP="00D25C21">
      <w:pPr>
        <w:jc w:val="both"/>
        <w:rPr>
          <w:rFonts w:ascii="Comic Sans MS" w:hAnsi="Comic Sans MS" w:cs="Arial"/>
        </w:rPr>
      </w:pPr>
    </w:p>
    <w:p w:rsidR="00D25C21" w:rsidRDefault="00D25C21" w:rsidP="00D25C21">
      <w:pPr>
        <w:jc w:val="both"/>
        <w:rPr>
          <w:rFonts w:ascii="Comic Sans MS" w:hAnsi="Comic Sans MS" w:cs="Arial"/>
        </w:rPr>
      </w:pPr>
    </w:p>
    <w:p w:rsidR="00D25C21" w:rsidRDefault="00D25C21" w:rsidP="00D25C21">
      <w:pPr>
        <w:jc w:val="both"/>
        <w:rPr>
          <w:rFonts w:ascii="Comic Sans MS" w:hAnsi="Comic Sans MS" w:cs="Arial"/>
        </w:rPr>
      </w:pPr>
    </w:p>
    <w:p w:rsidR="00D25C21" w:rsidRDefault="00D25C21" w:rsidP="00D25C21">
      <w:pPr>
        <w:jc w:val="both"/>
        <w:rPr>
          <w:rFonts w:ascii="Comic Sans MS" w:hAnsi="Comic Sans MS" w:cs="Arial"/>
        </w:rPr>
      </w:pPr>
    </w:p>
    <w:p w:rsidR="00D25C21" w:rsidRDefault="00640930" w:rsidP="00D25C21">
      <w:pPr>
        <w:jc w:val="both"/>
        <w:rPr>
          <w:rFonts w:ascii="Comic Sans MS" w:hAnsi="Comic Sans MS" w:cs="Arial"/>
        </w:rPr>
      </w:pPr>
      <w:r w:rsidRPr="00640930">
        <w:rPr>
          <w:rFonts w:ascii="Comic Sans MS" w:hAnsi="Comic Sans MS" w:cs="Arial"/>
          <w:noProof/>
          <w:lang w:val="fr-FR" w:eastAsia="en-US"/>
        </w:rPr>
        <w:pict>
          <v:shape id="_x0000_s1051" type="#_x0000_t202" style="position:absolute;left:0;text-align:left;margin-left:0;margin-top:0;width:408.75pt;height:204.3pt;z-index:251691008;mso-wrap-style:none;mso-position-horizontal:center;mso-width-relative:margin;mso-height-relative:margin" stroked="f">
            <v:textbox style="mso-next-textbox:#_x0000_s1051;mso-fit-shape-to-text:t">
              <w:txbxContent>
                <w:p w:rsidR="00AE0299" w:rsidRDefault="00AE0299" w:rsidP="00D25C21">
                  <w:pPr>
                    <w:rPr>
                      <w:lang w:val="fr-FR"/>
                    </w:rPr>
                  </w:pPr>
                  <w:r>
                    <w:rPr>
                      <w:rFonts w:ascii="Comic Sans MS" w:hAnsi="Comic Sans MS" w:cs="Arial"/>
                      <w:noProof/>
                      <w:lang w:val="en-GB" w:eastAsia="en-GB"/>
                    </w:rPr>
                    <w:drawing>
                      <wp:inline distT="0" distB="0" distL="0" distR="0">
                        <wp:extent cx="5007610" cy="2501900"/>
                        <wp:effectExtent l="19050" t="0" r="2540" b="0"/>
                        <wp:docPr id="32"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srcRect/>
                                <a:stretch>
                                  <a:fillRect/>
                                </a:stretch>
                              </pic:blipFill>
                              <pic:spPr bwMode="auto">
                                <a:xfrm>
                                  <a:off x="0" y="0"/>
                                  <a:ext cx="5007610" cy="2501900"/>
                                </a:xfrm>
                                <a:prstGeom prst="rect">
                                  <a:avLst/>
                                </a:prstGeom>
                                <a:noFill/>
                                <a:ln w="9525">
                                  <a:noFill/>
                                  <a:miter lim="800000"/>
                                  <a:headEnd/>
                                  <a:tailEnd/>
                                </a:ln>
                              </pic:spPr>
                            </pic:pic>
                          </a:graphicData>
                        </a:graphic>
                      </wp:inline>
                    </w:drawing>
                  </w:r>
                </w:p>
              </w:txbxContent>
            </v:textbox>
          </v:shape>
        </w:pict>
      </w:r>
    </w:p>
    <w:p w:rsidR="00D25C21" w:rsidRDefault="00D25C21" w:rsidP="00D25C21">
      <w:pPr>
        <w:jc w:val="both"/>
        <w:rPr>
          <w:rFonts w:ascii="Comic Sans MS" w:hAnsi="Comic Sans MS" w:cs="Arial"/>
        </w:rPr>
      </w:pPr>
    </w:p>
    <w:p w:rsidR="00D25C21" w:rsidRDefault="00D25C21" w:rsidP="00D25C21">
      <w:pPr>
        <w:jc w:val="both"/>
        <w:rPr>
          <w:rFonts w:ascii="Comic Sans MS" w:hAnsi="Comic Sans MS" w:cs="Arial"/>
        </w:rPr>
      </w:pPr>
    </w:p>
    <w:p w:rsidR="00D25C21" w:rsidRDefault="00D25C21" w:rsidP="00D25C21">
      <w:pPr>
        <w:jc w:val="both"/>
        <w:rPr>
          <w:rFonts w:ascii="Comic Sans MS" w:hAnsi="Comic Sans MS" w:cs="Arial"/>
        </w:rPr>
      </w:pPr>
    </w:p>
    <w:p w:rsidR="00D25C21" w:rsidRDefault="00D25C21" w:rsidP="00D25C21">
      <w:pPr>
        <w:jc w:val="both"/>
        <w:rPr>
          <w:rFonts w:ascii="Comic Sans MS" w:hAnsi="Comic Sans MS" w:cs="Arial"/>
        </w:rPr>
      </w:pPr>
    </w:p>
    <w:p w:rsidR="00D25C21" w:rsidRDefault="00D25C21" w:rsidP="00D25C21">
      <w:pPr>
        <w:jc w:val="both"/>
        <w:rPr>
          <w:rFonts w:ascii="Comic Sans MS" w:hAnsi="Comic Sans MS" w:cs="Arial"/>
        </w:rPr>
      </w:pPr>
    </w:p>
    <w:p w:rsidR="00D25C21" w:rsidRDefault="00D25C21" w:rsidP="00D25C21">
      <w:pPr>
        <w:jc w:val="both"/>
        <w:rPr>
          <w:rFonts w:ascii="Comic Sans MS" w:hAnsi="Comic Sans MS" w:cs="Arial"/>
        </w:rPr>
      </w:pPr>
    </w:p>
    <w:p w:rsidR="00D25C21" w:rsidRDefault="00D25C21" w:rsidP="00D25C21">
      <w:pPr>
        <w:jc w:val="both"/>
        <w:rPr>
          <w:rFonts w:ascii="Comic Sans MS" w:hAnsi="Comic Sans MS" w:cs="Arial"/>
        </w:rPr>
      </w:pPr>
    </w:p>
    <w:p w:rsidR="00D25C21" w:rsidRDefault="00D25C21" w:rsidP="00D25C21">
      <w:pPr>
        <w:jc w:val="both"/>
        <w:rPr>
          <w:rFonts w:ascii="Comic Sans MS" w:hAnsi="Comic Sans MS" w:cs="Arial"/>
        </w:rPr>
      </w:pPr>
    </w:p>
    <w:p w:rsidR="00D25C21" w:rsidRPr="00975178" w:rsidRDefault="00D25C21" w:rsidP="00D25C21">
      <w:pPr>
        <w:jc w:val="both"/>
        <w:rPr>
          <w:rFonts w:ascii="Comic Sans MS" w:hAnsi="Comic Sans MS" w:cs="Arial"/>
        </w:rPr>
      </w:pPr>
    </w:p>
    <w:p w:rsidR="00D25C21" w:rsidRPr="00D25C21" w:rsidRDefault="00D25C21" w:rsidP="00D25C21">
      <w:pPr>
        <w:numPr>
          <w:ilvl w:val="0"/>
          <w:numId w:val="4"/>
        </w:numPr>
        <w:jc w:val="both"/>
      </w:pPr>
      <w:r w:rsidRPr="00D25C21">
        <w:t xml:space="preserve">Positionner la sonde </w:t>
      </w:r>
      <w:proofErr w:type="spellStart"/>
      <w:r w:rsidRPr="00D25C21">
        <w:t>NaI</w:t>
      </w:r>
      <w:proofErr w:type="spellEnd"/>
      <w:r w:rsidRPr="00D25C21">
        <w:t xml:space="preserve"> face à la surface à mesurer et placer le bouton sur « on », la diriger vers la zone à contrôler en la manipulant avec précautions.</w:t>
      </w:r>
    </w:p>
    <w:p w:rsidR="00D25C21" w:rsidRPr="00975178" w:rsidRDefault="00D25C21" w:rsidP="00D25C21">
      <w:pPr>
        <w:jc w:val="both"/>
        <w:rPr>
          <w:rFonts w:ascii="Comic Sans MS" w:hAnsi="Comic Sans MS" w:cs="Arial"/>
        </w:rPr>
      </w:pPr>
    </w:p>
    <w:p w:rsidR="00D25C21" w:rsidRDefault="00D25C21" w:rsidP="00D25C21">
      <w:pPr>
        <w:jc w:val="center"/>
        <w:rPr>
          <w:rFonts w:ascii="Comic Sans MS" w:hAnsi="Comic Sans MS" w:cs="Arial"/>
        </w:rPr>
      </w:pPr>
      <w:r>
        <w:rPr>
          <w:rFonts w:ascii="Comic Sans MS" w:hAnsi="Comic Sans MS" w:cs="Arial"/>
          <w:noProof/>
          <w:lang w:val="en-GB" w:eastAsia="en-GB"/>
        </w:rPr>
        <w:drawing>
          <wp:inline distT="0" distB="0" distL="0" distR="0">
            <wp:extent cx="3769995" cy="1108710"/>
            <wp:effectExtent l="19050" t="0" r="1905" b="0"/>
            <wp:docPr id="30"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srcRect/>
                    <a:stretch>
                      <a:fillRect/>
                    </a:stretch>
                  </pic:blipFill>
                  <pic:spPr bwMode="auto">
                    <a:xfrm>
                      <a:off x="0" y="0"/>
                      <a:ext cx="3769995" cy="1108710"/>
                    </a:xfrm>
                    <a:prstGeom prst="rect">
                      <a:avLst/>
                    </a:prstGeom>
                    <a:noFill/>
                    <a:ln w="9525">
                      <a:noFill/>
                      <a:miter lim="800000"/>
                      <a:headEnd/>
                      <a:tailEnd/>
                    </a:ln>
                  </pic:spPr>
                </pic:pic>
              </a:graphicData>
            </a:graphic>
          </wp:inline>
        </w:drawing>
      </w:r>
    </w:p>
    <w:p w:rsidR="00D25C21" w:rsidRPr="00D25C21" w:rsidRDefault="00D25C21" w:rsidP="00D25C21">
      <w:r>
        <w:rPr>
          <w:rFonts w:ascii="Comic Sans MS" w:hAnsi="Comic Sans MS" w:cs="Arial"/>
        </w:rPr>
        <w:t xml:space="preserve">              </w:t>
      </w:r>
      <w:proofErr w:type="gramStart"/>
      <w:r w:rsidRPr="00D25C21">
        <w:rPr>
          <w:u w:val="single"/>
        </w:rPr>
        <w:t>Remarques</w:t>
      </w:r>
      <w:proofErr w:type="gramEnd"/>
      <w:r w:rsidRPr="00D25C21">
        <w:t> :</w:t>
      </w:r>
    </w:p>
    <w:p w:rsidR="00D25C21" w:rsidRPr="00D25C21" w:rsidRDefault="00D25C21" w:rsidP="00D25C21">
      <w:pPr>
        <w:numPr>
          <w:ilvl w:val="0"/>
          <w:numId w:val="5"/>
        </w:numPr>
        <w:spacing w:before="60" w:after="60"/>
        <w:jc w:val="both"/>
      </w:pPr>
      <w:r w:rsidRPr="00D25C21">
        <w:t>Sonde fragile et très sensible,</w:t>
      </w:r>
    </w:p>
    <w:p w:rsidR="00D25C21" w:rsidRDefault="00D25C21" w:rsidP="00D25C21">
      <w:pPr>
        <w:numPr>
          <w:ilvl w:val="0"/>
          <w:numId w:val="5"/>
        </w:numPr>
        <w:spacing w:before="60" w:after="60"/>
        <w:jc w:val="both"/>
      </w:pPr>
      <w:r w:rsidRPr="00D25C21">
        <w:t>Fonctionnement sur piles,</w:t>
      </w:r>
    </w:p>
    <w:p w:rsidR="00AE0299" w:rsidRPr="00D25C21" w:rsidRDefault="00AE0299" w:rsidP="00D25C21">
      <w:pPr>
        <w:numPr>
          <w:ilvl w:val="0"/>
          <w:numId w:val="5"/>
        </w:numPr>
        <w:spacing w:before="60" w:after="60"/>
        <w:jc w:val="both"/>
      </w:pPr>
      <w:r>
        <w:t xml:space="preserve">Plage d’énergie entre 5 et 500 </w:t>
      </w:r>
      <w:proofErr w:type="spellStart"/>
      <w:r>
        <w:t>kev</w:t>
      </w:r>
      <w:proofErr w:type="spellEnd"/>
    </w:p>
    <w:p w:rsidR="004D2E93" w:rsidRPr="002F05DD" w:rsidRDefault="00916E9B" w:rsidP="00D25C21">
      <w:pPr>
        <w:pStyle w:val="Titre1"/>
        <w:ind w:left="720"/>
        <w:jc w:val="left"/>
        <w:rPr>
          <w:rFonts w:ascii="Times New Roman" w:hAnsi="Times New Roman" w:cs="Times New Roman"/>
          <w:color w:val="auto"/>
          <w:sz w:val="24"/>
          <w:szCs w:val="24"/>
        </w:rPr>
      </w:pPr>
      <w:r w:rsidRPr="002F05DD">
        <w:rPr>
          <w:rFonts w:ascii="Times New Roman" w:hAnsi="Times New Roman" w:cs="Times New Roman"/>
          <w:color w:val="auto"/>
          <w:sz w:val="24"/>
          <w:szCs w:val="24"/>
        </w:rPr>
        <w:br/>
      </w:r>
    </w:p>
    <w:p w:rsidR="00916E9B" w:rsidRDefault="00916E9B" w:rsidP="00916E9B">
      <w:pPr>
        <w:rPr>
          <w:rFonts w:ascii="Calibri" w:hAnsi="Calibri"/>
          <w:b/>
          <w:sz w:val="28"/>
        </w:rPr>
      </w:pPr>
    </w:p>
    <w:p w:rsidR="00D25C21" w:rsidRDefault="00D25C21" w:rsidP="00916E9B">
      <w:pPr>
        <w:rPr>
          <w:rFonts w:ascii="Calibri" w:hAnsi="Calibri"/>
          <w:b/>
          <w:sz w:val="28"/>
        </w:rPr>
      </w:pPr>
    </w:p>
    <w:p w:rsidR="00D25C21" w:rsidRDefault="00D25C21">
      <w:pPr>
        <w:spacing w:after="200" w:line="276" w:lineRule="auto"/>
        <w:rPr>
          <w:rFonts w:ascii="Calibri" w:hAnsi="Calibri"/>
          <w:b/>
          <w:sz w:val="28"/>
        </w:rPr>
      </w:pPr>
      <w:r>
        <w:rPr>
          <w:rFonts w:ascii="Calibri" w:hAnsi="Calibri"/>
          <w:b/>
          <w:sz w:val="28"/>
        </w:rPr>
        <w:br w:type="page"/>
      </w:r>
    </w:p>
    <w:p w:rsidR="00D25C21" w:rsidRPr="00916E9B" w:rsidRDefault="00D25C21" w:rsidP="00916E9B">
      <w:pPr>
        <w:rPr>
          <w:rFonts w:ascii="Calibri" w:hAnsi="Calibri"/>
          <w:b/>
          <w:sz w:val="28"/>
        </w:rPr>
      </w:pPr>
    </w:p>
    <w:p w:rsidR="00BD6F0A" w:rsidRDefault="00916E9B" w:rsidP="002F05DD">
      <w:pPr>
        <w:pStyle w:val="Titre1"/>
        <w:numPr>
          <w:ilvl w:val="1"/>
          <w:numId w:val="18"/>
        </w:numPr>
        <w:jc w:val="left"/>
        <w:rPr>
          <w:rFonts w:ascii="Times New Roman" w:hAnsi="Times New Roman" w:cs="Times New Roman"/>
          <w:color w:val="auto"/>
          <w:sz w:val="24"/>
          <w:szCs w:val="24"/>
        </w:rPr>
      </w:pPr>
      <w:bookmarkStart w:id="9" w:name="_Toc70948787"/>
      <w:r w:rsidRPr="002F05DD">
        <w:rPr>
          <w:rFonts w:ascii="Times New Roman" w:hAnsi="Times New Roman" w:cs="Times New Roman"/>
          <w:color w:val="auto"/>
          <w:sz w:val="24"/>
          <w:szCs w:val="24"/>
        </w:rPr>
        <w:t>Radiamètre 6150AD 6/H</w:t>
      </w:r>
      <w:bookmarkEnd w:id="9"/>
      <w:r w:rsidR="00C96C66" w:rsidRPr="002F05DD">
        <w:rPr>
          <w:rFonts w:ascii="Times New Roman" w:hAnsi="Times New Roman" w:cs="Times New Roman"/>
          <w:color w:val="auto"/>
          <w:sz w:val="24"/>
          <w:szCs w:val="24"/>
        </w:rPr>
        <w:br/>
      </w:r>
    </w:p>
    <w:p w:rsidR="00916E9B" w:rsidRDefault="00C96C66" w:rsidP="00BD6F0A">
      <w:pPr>
        <w:ind w:left="709"/>
      </w:pPr>
      <w:r w:rsidRPr="002F05DD">
        <w:br/>
      </w:r>
      <w:r w:rsidR="007843EA" w:rsidRPr="00BA564C">
        <w:t xml:space="preserve">Appareil portable de détection et de mesure des </w:t>
      </w:r>
      <w:r w:rsidR="007843EA" w:rsidRPr="00BA564C">
        <w:rPr>
          <w:u w:val="single"/>
        </w:rPr>
        <w:t>rayonnements gamma</w:t>
      </w:r>
      <w:r w:rsidR="007843EA" w:rsidRPr="00BA564C">
        <w:t xml:space="preserve">, </w:t>
      </w:r>
      <w:r w:rsidR="007843EA">
        <w:t xml:space="preserve">il fonctionne avec des piles et contient </w:t>
      </w:r>
      <w:r w:rsidR="007843EA" w:rsidRPr="00BA564C">
        <w:t xml:space="preserve">une sonde </w:t>
      </w:r>
      <w:r w:rsidR="007843EA" w:rsidRPr="003C06FF">
        <w:t>Geiger-Müller</w:t>
      </w:r>
      <w:r w:rsidR="007843EA">
        <w:t>.</w:t>
      </w:r>
    </w:p>
    <w:p w:rsidR="00BD6F0A" w:rsidRPr="00BD6F0A" w:rsidRDefault="00BD6F0A" w:rsidP="00BD6F0A">
      <w:pPr>
        <w:ind w:left="709"/>
      </w:pPr>
      <w:r w:rsidRPr="00BD6F0A">
        <w:rPr>
          <w:szCs w:val="28"/>
        </w:rPr>
        <w:t xml:space="preserve">Les zones de mesures </w:t>
      </w:r>
      <w:r w:rsidRPr="00BD6F0A">
        <w:rPr>
          <w:color w:val="000000"/>
          <w:szCs w:val="28"/>
        </w:rPr>
        <w:t>couvertes : 0</w:t>
      </w:r>
      <w:r w:rsidRPr="00BD6F0A">
        <w:rPr>
          <w:szCs w:val="28"/>
        </w:rPr>
        <w:t xml:space="preserve">.1 micro Sv/h à 10 </w:t>
      </w:r>
      <w:proofErr w:type="spellStart"/>
      <w:r w:rsidRPr="00BD6F0A">
        <w:rPr>
          <w:szCs w:val="28"/>
        </w:rPr>
        <w:t>mSv</w:t>
      </w:r>
      <w:proofErr w:type="spellEnd"/>
      <w:r w:rsidRPr="00BD6F0A">
        <w:rPr>
          <w:szCs w:val="28"/>
        </w:rPr>
        <w:t>/h ; 60KeV à 1.3MeV.</w:t>
      </w:r>
    </w:p>
    <w:p w:rsidR="00BD6F0A" w:rsidRPr="002F05DD" w:rsidRDefault="00BD6F0A" w:rsidP="00BD6F0A">
      <w:r>
        <w:rPr>
          <w:rFonts w:ascii="Comic Sans MS" w:hAnsi="Comic Sans MS" w:cs="Arial"/>
          <w:noProof/>
          <w:szCs w:val="28"/>
          <w:lang w:val="en-GB" w:eastAsia="en-GB"/>
        </w:rPr>
        <w:drawing>
          <wp:inline distT="0" distB="0" distL="0" distR="0">
            <wp:extent cx="5148173" cy="3126430"/>
            <wp:effectExtent l="19050" t="0" r="0" b="0"/>
            <wp:docPr id="29"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srcRect l="4375" t="14648" r="1718" b="13867"/>
                    <a:stretch>
                      <a:fillRect/>
                    </a:stretch>
                  </pic:blipFill>
                  <pic:spPr bwMode="auto">
                    <a:xfrm>
                      <a:off x="0" y="0"/>
                      <a:ext cx="5148312" cy="3126514"/>
                    </a:xfrm>
                    <a:prstGeom prst="rect">
                      <a:avLst/>
                    </a:prstGeom>
                    <a:noFill/>
                    <a:ln w="9525">
                      <a:noFill/>
                      <a:miter lim="800000"/>
                      <a:headEnd/>
                      <a:tailEnd/>
                    </a:ln>
                  </pic:spPr>
                </pic:pic>
              </a:graphicData>
            </a:graphic>
          </wp:inline>
        </w:drawing>
      </w:r>
    </w:p>
    <w:p w:rsidR="00BD6F0A" w:rsidRPr="00BD6F0A" w:rsidRDefault="00BD6F0A" w:rsidP="00BD6F0A">
      <w:pPr>
        <w:numPr>
          <w:ilvl w:val="0"/>
          <w:numId w:val="9"/>
        </w:numPr>
        <w:spacing w:before="60" w:after="60"/>
        <w:ind w:hanging="987"/>
        <w:jc w:val="both"/>
        <w:rPr>
          <w:sz w:val="28"/>
          <w:szCs w:val="28"/>
        </w:rPr>
      </w:pPr>
      <w:r w:rsidRPr="00BD6F0A">
        <w:rPr>
          <w:szCs w:val="28"/>
        </w:rPr>
        <w:t>Le boitier est équipé de 4 boutons :</w:t>
      </w:r>
    </w:p>
    <w:p w:rsidR="00BD6F0A" w:rsidRPr="00BD6F0A" w:rsidRDefault="00BD6F0A" w:rsidP="00BD6F0A">
      <w:pPr>
        <w:numPr>
          <w:ilvl w:val="1"/>
          <w:numId w:val="7"/>
        </w:numPr>
        <w:spacing w:before="60" w:after="60"/>
        <w:jc w:val="both"/>
        <w:rPr>
          <w:szCs w:val="28"/>
        </w:rPr>
      </w:pPr>
      <w:r w:rsidRPr="00BD6F0A">
        <w:rPr>
          <w:szCs w:val="28"/>
        </w:rPr>
        <w:t>bouton Arrêt-Marche,</w:t>
      </w:r>
    </w:p>
    <w:p w:rsidR="00BD6F0A" w:rsidRPr="00BD6F0A" w:rsidRDefault="00BD6F0A" w:rsidP="00BD6F0A">
      <w:pPr>
        <w:numPr>
          <w:ilvl w:val="1"/>
          <w:numId w:val="7"/>
        </w:numPr>
        <w:spacing w:before="60" w:after="60"/>
        <w:jc w:val="both"/>
        <w:rPr>
          <w:szCs w:val="28"/>
        </w:rPr>
      </w:pPr>
      <w:r w:rsidRPr="00BD6F0A">
        <w:rPr>
          <w:szCs w:val="28"/>
        </w:rPr>
        <w:t>bouton de sélection,</w:t>
      </w:r>
    </w:p>
    <w:p w:rsidR="00BD6F0A" w:rsidRPr="00BD6F0A" w:rsidRDefault="00BD6F0A" w:rsidP="00BD6F0A">
      <w:pPr>
        <w:numPr>
          <w:ilvl w:val="1"/>
          <w:numId w:val="7"/>
        </w:numPr>
        <w:spacing w:before="60" w:after="60"/>
        <w:jc w:val="both"/>
        <w:rPr>
          <w:szCs w:val="28"/>
        </w:rPr>
      </w:pPr>
      <w:r w:rsidRPr="00BD6F0A">
        <w:rPr>
          <w:szCs w:val="28"/>
        </w:rPr>
        <w:t>bouton d’éclairage,</w:t>
      </w:r>
      <w:r w:rsidR="009F74D9">
        <w:rPr>
          <w:szCs w:val="28"/>
        </w:rPr>
        <w:t xml:space="preserve"> (on/off)</w:t>
      </w:r>
      <w:r w:rsidRPr="00BD6F0A">
        <w:rPr>
          <w:szCs w:val="28"/>
        </w:rPr>
        <w:t xml:space="preserve"> </w:t>
      </w:r>
    </w:p>
    <w:p w:rsidR="00BD6F0A" w:rsidRPr="00BD6F0A" w:rsidRDefault="009F74D9" w:rsidP="00BD6F0A">
      <w:pPr>
        <w:numPr>
          <w:ilvl w:val="1"/>
          <w:numId w:val="7"/>
        </w:numPr>
        <w:spacing w:before="60" w:after="60"/>
        <w:jc w:val="both"/>
        <w:rPr>
          <w:szCs w:val="28"/>
        </w:rPr>
      </w:pPr>
      <w:r>
        <w:rPr>
          <w:szCs w:val="28"/>
        </w:rPr>
        <w:t>bouton haut-parleur, (on/off)</w:t>
      </w:r>
    </w:p>
    <w:p w:rsidR="00BD6F0A" w:rsidRPr="00BD6F0A" w:rsidRDefault="00BD6F0A" w:rsidP="00BD6F0A">
      <w:pPr>
        <w:spacing w:before="60" w:after="60"/>
        <w:ind w:left="4470"/>
        <w:jc w:val="both"/>
        <w:rPr>
          <w:sz w:val="10"/>
          <w:szCs w:val="10"/>
        </w:rPr>
      </w:pPr>
    </w:p>
    <w:p w:rsidR="00BD6F0A" w:rsidRPr="00BD6F0A" w:rsidRDefault="00BD6F0A" w:rsidP="00BD6F0A">
      <w:pPr>
        <w:spacing w:before="60" w:after="60"/>
        <w:ind w:left="4470"/>
        <w:jc w:val="both"/>
        <w:rPr>
          <w:sz w:val="10"/>
          <w:szCs w:val="10"/>
        </w:rPr>
      </w:pPr>
    </w:p>
    <w:p w:rsidR="00BD6F0A" w:rsidRPr="00BD6F0A" w:rsidRDefault="00BD6F0A" w:rsidP="00BD6F0A">
      <w:pPr>
        <w:spacing w:before="60" w:after="60"/>
        <w:ind w:left="4470"/>
        <w:jc w:val="both"/>
        <w:rPr>
          <w:sz w:val="10"/>
          <w:szCs w:val="10"/>
        </w:rPr>
      </w:pPr>
    </w:p>
    <w:p w:rsidR="00BD6F0A" w:rsidRPr="00BD6F0A" w:rsidRDefault="00BD6F0A" w:rsidP="00BD6F0A">
      <w:pPr>
        <w:spacing w:before="60" w:after="60"/>
        <w:ind w:left="1635" w:hanging="1270"/>
        <w:jc w:val="both"/>
        <w:rPr>
          <w:szCs w:val="28"/>
        </w:rPr>
      </w:pPr>
      <w:r w:rsidRPr="00BD6F0A">
        <w:rPr>
          <w:b/>
          <w:szCs w:val="28"/>
          <w:u w:val="single"/>
        </w:rPr>
        <w:t>N.B.</w:t>
      </w:r>
      <w:r w:rsidRPr="00BD6F0A">
        <w:rPr>
          <w:szCs w:val="28"/>
        </w:rPr>
        <w:t xml:space="preserve"> le bouton de sélection (n°2) permet de choisir : </w:t>
      </w:r>
    </w:p>
    <w:p w:rsidR="00F436A6" w:rsidRDefault="00F436A6" w:rsidP="00BD6F0A">
      <w:pPr>
        <w:numPr>
          <w:ilvl w:val="2"/>
          <w:numId w:val="7"/>
        </w:numPr>
        <w:spacing w:before="60" w:after="60"/>
        <w:jc w:val="both"/>
        <w:rPr>
          <w:szCs w:val="28"/>
        </w:rPr>
      </w:pPr>
      <w:r>
        <w:rPr>
          <w:szCs w:val="28"/>
        </w:rPr>
        <w:t>débit de dose (à l’allumage)</w:t>
      </w:r>
    </w:p>
    <w:p w:rsidR="00BD6F0A" w:rsidRPr="00BD6F0A" w:rsidRDefault="00BD6F0A" w:rsidP="00BD6F0A">
      <w:pPr>
        <w:numPr>
          <w:ilvl w:val="2"/>
          <w:numId w:val="7"/>
        </w:numPr>
        <w:spacing w:before="60" w:after="60"/>
        <w:jc w:val="both"/>
        <w:rPr>
          <w:szCs w:val="28"/>
        </w:rPr>
      </w:pPr>
      <w:r w:rsidRPr="00BD6F0A">
        <w:rPr>
          <w:szCs w:val="28"/>
        </w:rPr>
        <w:t xml:space="preserve">débit </w:t>
      </w:r>
      <w:r w:rsidR="00F436A6">
        <w:rPr>
          <w:szCs w:val="28"/>
        </w:rPr>
        <w:t xml:space="preserve">de dose </w:t>
      </w:r>
      <w:r w:rsidRPr="00BD6F0A">
        <w:rPr>
          <w:szCs w:val="28"/>
        </w:rPr>
        <w:t>moyen,</w:t>
      </w:r>
    </w:p>
    <w:p w:rsidR="00BD6F0A" w:rsidRPr="00BD6F0A" w:rsidRDefault="00BD6F0A" w:rsidP="00BD6F0A">
      <w:pPr>
        <w:numPr>
          <w:ilvl w:val="2"/>
          <w:numId w:val="7"/>
        </w:numPr>
        <w:spacing w:before="60" w:after="60"/>
        <w:jc w:val="both"/>
        <w:rPr>
          <w:szCs w:val="28"/>
        </w:rPr>
      </w:pPr>
      <w:r w:rsidRPr="00BD6F0A">
        <w:rPr>
          <w:szCs w:val="28"/>
        </w:rPr>
        <w:t>seuil d’alarme en débit de dose,</w:t>
      </w:r>
    </w:p>
    <w:p w:rsidR="00BD6F0A" w:rsidRPr="00BD6F0A" w:rsidRDefault="00BD6F0A" w:rsidP="00BD6F0A">
      <w:pPr>
        <w:numPr>
          <w:ilvl w:val="2"/>
          <w:numId w:val="7"/>
        </w:numPr>
        <w:spacing w:before="60" w:after="60"/>
        <w:jc w:val="both"/>
        <w:rPr>
          <w:szCs w:val="28"/>
        </w:rPr>
      </w:pPr>
      <w:r w:rsidRPr="00BD6F0A">
        <w:rPr>
          <w:szCs w:val="28"/>
        </w:rPr>
        <w:t xml:space="preserve">débit </w:t>
      </w:r>
      <w:r w:rsidR="00F436A6">
        <w:rPr>
          <w:szCs w:val="28"/>
        </w:rPr>
        <w:t xml:space="preserve">de dose </w:t>
      </w:r>
      <w:r w:rsidRPr="00BD6F0A">
        <w:rPr>
          <w:szCs w:val="28"/>
        </w:rPr>
        <w:t>maximum,</w:t>
      </w:r>
    </w:p>
    <w:p w:rsidR="00BD6F0A" w:rsidRPr="00BD6F0A" w:rsidRDefault="00BD6F0A" w:rsidP="00BD6F0A">
      <w:pPr>
        <w:numPr>
          <w:ilvl w:val="2"/>
          <w:numId w:val="7"/>
        </w:numPr>
        <w:spacing w:before="60" w:after="60"/>
        <w:jc w:val="both"/>
        <w:rPr>
          <w:szCs w:val="28"/>
        </w:rPr>
      </w:pPr>
      <w:r w:rsidRPr="00BD6F0A">
        <w:rPr>
          <w:szCs w:val="28"/>
        </w:rPr>
        <w:t>dose,</w:t>
      </w:r>
    </w:p>
    <w:p w:rsidR="00BD6F0A" w:rsidRPr="00BD6F0A" w:rsidRDefault="00BD6F0A" w:rsidP="00BD6F0A">
      <w:pPr>
        <w:numPr>
          <w:ilvl w:val="2"/>
          <w:numId w:val="7"/>
        </w:numPr>
        <w:spacing w:before="60" w:after="60"/>
        <w:jc w:val="both"/>
        <w:rPr>
          <w:szCs w:val="28"/>
        </w:rPr>
      </w:pPr>
      <w:r w:rsidRPr="00BD6F0A">
        <w:rPr>
          <w:szCs w:val="28"/>
        </w:rPr>
        <w:t>seuil d’alarme de la dose,</w:t>
      </w:r>
    </w:p>
    <w:p w:rsidR="00BD6F0A" w:rsidRPr="00BD6F0A" w:rsidRDefault="00BD6F0A" w:rsidP="00BD6F0A">
      <w:pPr>
        <w:numPr>
          <w:ilvl w:val="2"/>
          <w:numId w:val="7"/>
        </w:numPr>
        <w:spacing w:before="60" w:after="60"/>
        <w:jc w:val="both"/>
        <w:rPr>
          <w:szCs w:val="28"/>
        </w:rPr>
      </w:pPr>
      <w:r w:rsidRPr="00BD6F0A">
        <w:rPr>
          <w:szCs w:val="28"/>
        </w:rPr>
        <w:t>tension de la pile,</w:t>
      </w:r>
    </w:p>
    <w:p w:rsidR="00BD6F0A" w:rsidRPr="00BD6F0A" w:rsidRDefault="00BD6F0A" w:rsidP="00BD6F0A">
      <w:pPr>
        <w:numPr>
          <w:ilvl w:val="2"/>
          <w:numId w:val="7"/>
        </w:numPr>
        <w:spacing w:before="60" w:after="60"/>
        <w:jc w:val="both"/>
        <w:rPr>
          <w:szCs w:val="28"/>
        </w:rPr>
      </w:pPr>
      <w:r w:rsidRPr="00BD6F0A">
        <w:rPr>
          <w:szCs w:val="28"/>
        </w:rPr>
        <w:t>paramètres de calibration.</w:t>
      </w:r>
    </w:p>
    <w:p w:rsidR="00BD6F0A" w:rsidRPr="00BD6F0A" w:rsidRDefault="00BD6F0A" w:rsidP="00BD6F0A">
      <w:pPr>
        <w:spacing w:before="60" w:after="60"/>
        <w:ind w:left="1080"/>
        <w:jc w:val="both"/>
        <w:rPr>
          <w:sz w:val="10"/>
          <w:szCs w:val="10"/>
        </w:rPr>
      </w:pPr>
    </w:p>
    <w:p w:rsidR="00BD6F0A" w:rsidRPr="00BD6F0A" w:rsidRDefault="00BD6F0A" w:rsidP="00BD6F0A">
      <w:pPr>
        <w:numPr>
          <w:ilvl w:val="0"/>
          <w:numId w:val="9"/>
        </w:numPr>
        <w:spacing w:before="60" w:after="60"/>
        <w:ind w:left="790" w:hanging="425"/>
        <w:jc w:val="both"/>
      </w:pPr>
      <w:r w:rsidRPr="00BD6F0A">
        <w:t>Mise en route : exercer une pression de 0.5 seconde sur le bouton « marche/arrêt », </w:t>
      </w:r>
      <w:r w:rsidRPr="00BD6F0A">
        <w:rPr>
          <w:color w:val="000000"/>
        </w:rPr>
        <w:t>l’écran LCD affiche TEST et un signal sonore est émis,</w:t>
      </w:r>
      <w:r w:rsidRPr="00BD6F0A">
        <w:t xml:space="preserve"> l</w:t>
      </w:r>
      <w:r w:rsidR="000A6B7E">
        <w:t>’appareil démarre en «</w:t>
      </w:r>
      <w:r w:rsidRPr="00BD6F0A">
        <w:t xml:space="preserve"> débit de dose ».</w:t>
      </w:r>
    </w:p>
    <w:p w:rsidR="00BD6F0A" w:rsidRPr="00BD6F0A" w:rsidRDefault="00BD6F0A" w:rsidP="00BD6F0A">
      <w:pPr>
        <w:numPr>
          <w:ilvl w:val="0"/>
          <w:numId w:val="9"/>
        </w:numPr>
        <w:spacing w:before="60" w:after="60"/>
        <w:ind w:left="790" w:hanging="425"/>
        <w:jc w:val="both"/>
      </w:pPr>
      <w:r w:rsidRPr="00BD6F0A">
        <w:t>Arrêt : appuyer 2 fois sur le bouton «  marche/ arrêt » à 3 secondes d’intervalle.</w:t>
      </w:r>
    </w:p>
    <w:p w:rsidR="00BD6F0A" w:rsidRPr="00BD6F0A" w:rsidRDefault="00BD6F0A" w:rsidP="00BD6F0A">
      <w:pPr>
        <w:spacing w:before="60" w:after="60"/>
        <w:ind w:left="1352"/>
        <w:jc w:val="both"/>
      </w:pPr>
    </w:p>
    <w:p w:rsidR="00BD6F0A" w:rsidRPr="00BD6F0A" w:rsidRDefault="00BD6F0A" w:rsidP="00BD6F0A">
      <w:pPr>
        <w:spacing w:before="60" w:after="60"/>
        <w:ind w:left="1352" w:hanging="987"/>
        <w:jc w:val="both"/>
      </w:pPr>
      <w:r w:rsidRPr="00BD6F0A">
        <w:t xml:space="preserve">Le manuel d’utilisation du </w:t>
      </w:r>
      <w:proofErr w:type="spellStart"/>
      <w:r w:rsidRPr="00BD6F0A">
        <w:t>radiamètre</w:t>
      </w:r>
      <w:proofErr w:type="spellEnd"/>
      <w:r w:rsidRPr="00BD6F0A">
        <w:t xml:space="preserve"> se trouve dans le labo chaud.  </w:t>
      </w:r>
    </w:p>
    <w:p w:rsidR="00BD6F0A" w:rsidRPr="00BD6F0A" w:rsidRDefault="00BD6F0A" w:rsidP="00BD6F0A">
      <w:pPr>
        <w:spacing w:before="60" w:after="60"/>
        <w:ind w:left="1352" w:hanging="987"/>
        <w:jc w:val="both"/>
      </w:pPr>
      <w:r w:rsidRPr="00BD6F0A">
        <w:t xml:space="preserve">Il comprend : </w:t>
      </w:r>
    </w:p>
    <w:p w:rsidR="00BD6F0A" w:rsidRPr="00BD6F0A" w:rsidRDefault="00BD6F0A" w:rsidP="00BD6F0A">
      <w:pPr>
        <w:numPr>
          <w:ilvl w:val="0"/>
          <w:numId w:val="11"/>
        </w:numPr>
        <w:spacing w:before="60" w:after="60"/>
        <w:jc w:val="both"/>
        <w:rPr>
          <w:color w:val="000000"/>
        </w:rPr>
      </w:pPr>
      <w:r w:rsidRPr="00BD6F0A">
        <w:rPr>
          <w:color w:val="000000"/>
        </w:rPr>
        <w:t xml:space="preserve">la présentation, </w:t>
      </w:r>
    </w:p>
    <w:p w:rsidR="00BD6F0A" w:rsidRPr="00BD6F0A" w:rsidRDefault="00BD6F0A" w:rsidP="00BD6F0A">
      <w:pPr>
        <w:numPr>
          <w:ilvl w:val="0"/>
          <w:numId w:val="11"/>
        </w:numPr>
        <w:spacing w:before="60" w:after="60"/>
        <w:jc w:val="both"/>
        <w:rPr>
          <w:color w:val="000000"/>
        </w:rPr>
      </w:pPr>
      <w:r w:rsidRPr="00BD6F0A">
        <w:rPr>
          <w:color w:val="000000"/>
        </w:rPr>
        <w:t>les caractéristiques techniques,</w:t>
      </w:r>
    </w:p>
    <w:p w:rsidR="00BD6F0A" w:rsidRPr="00BD6F0A" w:rsidRDefault="00BD6F0A" w:rsidP="00BD6F0A">
      <w:pPr>
        <w:numPr>
          <w:ilvl w:val="0"/>
          <w:numId w:val="11"/>
        </w:numPr>
        <w:spacing w:before="60" w:after="60"/>
        <w:jc w:val="both"/>
        <w:rPr>
          <w:color w:val="000000"/>
        </w:rPr>
      </w:pPr>
      <w:r w:rsidRPr="00BD6F0A">
        <w:rPr>
          <w:color w:val="000000"/>
        </w:rPr>
        <w:t>le principe de fonctionnement,</w:t>
      </w:r>
    </w:p>
    <w:p w:rsidR="00BD6F0A" w:rsidRPr="00BD6F0A" w:rsidRDefault="00BD6F0A" w:rsidP="00BD6F0A">
      <w:pPr>
        <w:numPr>
          <w:ilvl w:val="0"/>
          <w:numId w:val="11"/>
        </w:numPr>
        <w:spacing w:before="60" w:after="60"/>
        <w:jc w:val="both"/>
        <w:rPr>
          <w:color w:val="000000"/>
        </w:rPr>
      </w:pPr>
      <w:r w:rsidRPr="00BD6F0A">
        <w:rPr>
          <w:color w:val="000000"/>
        </w:rPr>
        <w:t xml:space="preserve">les différentes utilisations : </w:t>
      </w:r>
    </w:p>
    <w:p w:rsidR="00BD6F0A" w:rsidRPr="00BD6F0A" w:rsidRDefault="00BD6F0A" w:rsidP="00BD6F0A">
      <w:pPr>
        <w:numPr>
          <w:ilvl w:val="1"/>
          <w:numId w:val="11"/>
        </w:numPr>
        <w:spacing w:before="60" w:after="60"/>
        <w:jc w:val="both"/>
        <w:rPr>
          <w:color w:val="000000"/>
        </w:rPr>
      </w:pPr>
      <w:r w:rsidRPr="00BD6F0A">
        <w:rPr>
          <w:color w:val="000000"/>
        </w:rPr>
        <w:t>mise en route,</w:t>
      </w:r>
    </w:p>
    <w:p w:rsidR="00BD6F0A" w:rsidRPr="00BD6F0A" w:rsidRDefault="00BD6F0A" w:rsidP="00BD6F0A">
      <w:pPr>
        <w:numPr>
          <w:ilvl w:val="1"/>
          <w:numId w:val="11"/>
        </w:numPr>
        <w:spacing w:before="60" w:after="60"/>
        <w:jc w:val="both"/>
        <w:rPr>
          <w:color w:val="000000"/>
        </w:rPr>
      </w:pPr>
      <w:r w:rsidRPr="00BD6F0A">
        <w:rPr>
          <w:color w:val="000000"/>
        </w:rPr>
        <w:t>sélection des fonctions,</w:t>
      </w:r>
    </w:p>
    <w:p w:rsidR="00BD6F0A" w:rsidRPr="00BD6F0A" w:rsidRDefault="00BD6F0A" w:rsidP="00BD6F0A">
      <w:pPr>
        <w:numPr>
          <w:ilvl w:val="1"/>
          <w:numId w:val="11"/>
        </w:numPr>
        <w:spacing w:before="60" w:after="60"/>
        <w:jc w:val="both"/>
      </w:pPr>
      <w:r w:rsidRPr="00BD6F0A">
        <w:rPr>
          <w:color w:val="000000"/>
        </w:rPr>
        <w:t>affichage</w:t>
      </w:r>
      <w:r w:rsidRPr="00BD6F0A">
        <w:rPr>
          <w:color w:val="00B050"/>
        </w:rPr>
        <w:t>.</w:t>
      </w:r>
    </w:p>
    <w:p w:rsidR="00C96C66" w:rsidRPr="00BD6F0A" w:rsidRDefault="00C96C66">
      <w:pPr>
        <w:spacing w:after="200" w:line="276" w:lineRule="auto"/>
        <w:rPr>
          <w:b/>
        </w:rPr>
      </w:pPr>
    </w:p>
    <w:p w:rsidR="00D25C21" w:rsidRDefault="00D25C21">
      <w:pPr>
        <w:spacing w:after="200" w:line="276" w:lineRule="auto"/>
        <w:rPr>
          <w:b/>
        </w:rPr>
      </w:pPr>
      <w:r>
        <w:rPr>
          <w:b/>
        </w:rPr>
        <w:br w:type="page"/>
      </w:r>
    </w:p>
    <w:p w:rsidR="00C96C66" w:rsidRPr="00BD6F0A" w:rsidRDefault="00C96C66" w:rsidP="00602B58">
      <w:pPr>
        <w:rPr>
          <w:b/>
        </w:rPr>
      </w:pPr>
    </w:p>
    <w:p w:rsidR="00C96C66" w:rsidRPr="002F05DD" w:rsidRDefault="00C96C66" w:rsidP="002F05DD">
      <w:pPr>
        <w:pStyle w:val="Titre1"/>
        <w:numPr>
          <w:ilvl w:val="1"/>
          <w:numId w:val="18"/>
        </w:numPr>
        <w:jc w:val="left"/>
        <w:rPr>
          <w:rFonts w:ascii="Times New Roman" w:hAnsi="Times New Roman" w:cs="Times New Roman"/>
          <w:color w:val="auto"/>
          <w:sz w:val="24"/>
          <w:szCs w:val="24"/>
        </w:rPr>
      </w:pPr>
      <w:bookmarkStart w:id="10" w:name="_Toc70948788"/>
      <w:r w:rsidRPr="002F05DD">
        <w:rPr>
          <w:rFonts w:ascii="Times New Roman" w:hAnsi="Times New Roman" w:cs="Times New Roman"/>
          <w:color w:val="auto"/>
          <w:sz w:val="24"/>
          <w:szCs w:val="24"/>
        </w:rPr>
        <w:t>Radiamètre Ludlum 26/1</w:t>
      </w:r>
      <w:bookmarkEnd w:id="10"/>
    </w:p>
    <w:tbl>
      <w:tblPr>
        <w:tblW w:w="9540" w:type="dxa"/>
        <w:tblInd w:w="108" w:type="dxa"/>
        <w:tblBorders>
          <w:bottom w:val="single" w:sz="4" w:space="0" w:color="auto"/>
        </w:tblBorders>
        <w:tblLook w:val="01E0"/>
      </w:tblPr>
      <w:tblGrid>
        <w:gridCol w:w="237"/>
        <w:gridCol w:w="9239"/>
        <w:gridCol w:w="64"/>
      </w:tblGrid>
      <w:tr w:rsidR="001745E5" w:rsidRPr="004C79E2" w:rsidTr="00602B58">
        <w:trPr>
          <w:gridAfter w:val="1"/>
          <w:wAfter w:w="64" w:type="dxa"/>
          <w:trHeight w:val="1531"/>
        </w:trPr>
        <w:tc>
          <w:tcPr>
            <w:tcW w:w="237" w:type="dxa"/>
            <w:tcBorders>
              <w:top w:val="nil"/>
              <w:bottom w:val="nil"/>
            </w:tcBorders>
          </w:tcPr>
          <w:p w:rsidR="001745E5" w:rsidRDefault="001745E5" w:rsidP="002F05DD">
            <w:pPr>
              <w:jc w:val="right"/>
              <w:rPr>
                <w:rFonts w:ascii="Comic Sans MS" w:hAnsi="Comic Sans MS" w:cs="Arial"/>
                <w:b/>
                <w:noProof/>
                <w:color w:val="333399"/>
                <w:sz w:val="20"/>
              </w:rPr>
            </w:pPr>
          </w:p>
          <w:p w:rsidR="001745E5" w:rsidRDefault="001745E5" w:rsidP="002F05DD">
            <w:pPr>
              <w:jc w:val="center"/>
              <w:rPr>
                <w:rFonts w:ascii="Comic Sans MS" w:hAnsi="Comic Sans MS" w:cs="Arial"/>
                <w:b/>
                <w:noProof/>
                <w:color w:val="333399"/>
                <w:sz w:val="28"/>
              </w:rPr>
            </w:pPr>
            <w:r>
              <w:rPr>
                <w:rFonts w:ascii="Comic Sans MS" w:hAnsi="Comic Sans MS" w:cs="Arial"/>
                <w:b/>
                <w:noProof/>
                <w:color w:val="333399"/>
                <w:sz w:val="20"/>
                <w:szCs w:val="22"/>
              </w:rPr>
              <w:t xml:space="preserve">                </w:t>
            </w:r>
          </w:p>
          <w:p w:rsidR="001745E5" w:rsidRDefault="001745E5" w:rsidP="002F05DD">
            <w:pPr>
              <w:rPr>
                <w:rFonts w:ascii="Comic Sans MS" w:hAnsi="Comic Sans MS" w:cs="Arial"/>
                <w:b/>
                <w:noProof/>
                <w:color w:val="333399"/>
                <w:sz w:val="20"/>
              </w:rPr>
            </w:pPr>
          </w:p>
          <w:p w:rsidR="001745E5" w:rsidRDefault="001745E5" w:rsidP="002F05DD">
            <w:pPr>
              <w:rPr>
                <w:rFonts w:ascii="Comic Sans MS" w:hAnsi="Comic Sans MS" w:cs="Arial"/>
                <w:b/>
                <w:noProof/>
                <w:color w:val="333399"/>
                <w:sz w:val="20"/>
              </w:rPr>
            </w:pPr>
          </w:p>
          <w:p w:rsidR="001745E5" w:rsidRDefault="001745E5" w:rsidP="002F05DD">
            <w:pPr>
              <w:rPr>
                <w:rFonts w:ascii="Comic Sans MS" w:hAnsi="Comic Sans MS" w:cs="Arial"/>
                <w:b/>
                <w:noProof/>
                <w:color w:val="333399"/>
                <w:sz w:val="20"/>
              </w:rPr>
            </w:pPr>
          </w:p>
          <w:p w:rsidR="001745E5" w:rsidRDefault="001745E5" w:rsidP="002F05DD">
            <w:pPr>
              <w:jc w:val="right"/>
              <w:rPr>
                <w:rFonts w:ascii="Comic Sans MS" w:hAnsi="Comic Sans MS" w:cs="Arial"/>
                <w:b/>
                <w:noProof/>
                <w:color w:val="333399"/>
                <w:sz w:val="20"/>
              </w:rPr>
            </w:pPr>
          </w:p>
          <w:p w:rsidR="001745E5" w:rsidRDefault="001745E5" w:rsidP="002F05DD">
            <w:pPr>
              <w:jc w:val="right"/>
              <w:rPr>
                <w:rFonts w:ascii="Comic Sans MS" w:hAnsi="Comic Sans MS" w:cs="Arial"/>
                <w:b/>
                <w:noProof/>
                <w:color w:val="333399"/>
                <w:sz w:val="20"/>
              </w:rPr>
            </w:pPr>
          </w:p>
        </w:tc>
        <w:tc>
          <w:tcPr>
            <w:tcW w:w="9239" w:type="dxa"/>
            <w:tcBorders>
              <w:top w:val="nil"/>
              <w:bottom w:val="nil"/>
            </w:tcBorders>
          </w:tcPr>
          <w:p w:rsidR="00C96C66" w:rsidRPr="00C96C66" w:rsidRDefault="001745E5" w:rsidP="00602B58">
            <w:pPr>
              <w:tabs>
                <w:tab w:val="left" w:pos="2502"/>
              </w:tabs>
              <w:spacing w:before="120" w:after="120"/>
              <w:ind w:left="365"/>
              <w:jc w:val="both"/>
            </w:pPr>
            <w:r w:rsidRPr="00C96C66">
              <w:t xml:space="preserve">Appareil portable de détection et de mesure des </w:t>
            </w:r>
            <w:r w:rsidR="003738CC">
              <w:rPr>
                <w:u w:val="single"/>
              </w:rPr>
              <w:t>rayonnements alpha,</w:t>
            </w:r>
            <w:r w:rsidRPr="00C96C66">
              <w:rPr>
                <w:u w:val="single"/>
              </w:rPr>
              <w:t xml:space="preserve"> béta</w:t>
            </w:r>
            <w:r w:rsidR="003738CC">
              <w:rPr>
                <w:u w:val="single"/>
              </w:rPr>
              <w:t xml:space="preserve"> et gamma</w:t>
            </w:r>
            <w:r w:rsidRPr="00C96C66">
              <w:t xml:space="preserve">, il fonctionne avec deux piles AA et contient une sonde Geiger-Müller. </w:t>
            </w:r>
          </w:p>
          <w:p w:rsidR="001745E5" w:rsidRPr="00C96C66" w:rsidRDefault="001745E5" w:rsidP="00C96C66">
            <w:pPr>
              <w:spacing w:before="60" w:after="60"/>
              <w:ind w:left="365"/>
              <w:jc w:val="both"/>
              <w:rPr>
                <w:u w:val="single"/>
              </w:rPr>
            </w:pPr>
            <w:r w:rsidRPr="00C96C66">
              <w:t xml:space="preserve">Les zones de mesures </w:t>
            </w:r>
            <w:r w:rsidRPr="00C96C66">
              <w:rPr>
                <w:color w:val="000000"/>
              </w:rPr>
              <w:t>couvertes : 0</w:t>
            </w:r>
            <w:r w:rsidRPr="00C96C66">
              <w:t>.000 micro Sv/h à 1999 micro Sv/h.</w:t>
            </w:r>
          </w:p>
          <w:p w:rsidR="001745E5" w:rsidRPr="00C96C66" w:rsidRDefault="001745E5" w:rsidP="002F05DD">
            <w:pPr>
              <w:spacing w:before="60" w:after="60"/>
              <w:ind w:firstLine="365"/>
              <w:jc w:val="both"/>
              <w:rPr>
                <w:szCs w:val="28"/>
                <w:u w:val="single"/>
              </w:rPr>
            </w:pPr>
            <w:r w:rsidRPr="00C96C66">
              <w:rPr>
                <w:szCs w:val="28"/>
              </w:rPr>
              <w:t xml:space="preserve">Le </w:t>
            </w:r>
            <w:proofErr w:type="spellStart"/>
            <w:r w:rsidRPr="00C96C66">
              <w:rPr>
                <w:szCs w:val="28"/>
              </w:rPr>
              <w:t>radiamètre</w:t>
            </w:r>
            <w:proofErr w:type="spellEnd"/>
            <w:r w:rsidRPr="00C96C66">
              <w:rPr>
                <w:szCs w:val="28"/>
              </w:rPr>
              <w:t xml:space="preserve"> LUDLUM donne la possibilité de mesurer :</w:t>
            </w:r>
          </w:p>
          <w:p w:rsidR="001745E5" w:rsidRPr="00C96C66" w:rsidRDefault="001745E5" w:rsidP="002F05DD">
            <w:pPr>
              <w:spacing w:before="60" w:after="60"/>
              <w:ind w:left="1440"/>
              <w:jc w:val="both"/>
              <w:rPr>
                <w:sz w:val="10"/>
                <w:szCs w:val="10"/>
              </w:rPr>
            </w:pPr>
          </w:p>
          <w:p w:rsidR="001745E5" w:rsidRPr="00C96C66" w:rsidRDefault="001745E5" w:rsidP="001745E5">
            <w:pPr>
              <w:numPr>
                <w:ilvl w:val="0"/>
                <w:numId w:val="10"/>
              </w:numPr>
              <w:spacing w:before="60" w:after="60"/>
              <w:jc w:val="both"/>
              <w:rPr>
                <w:color w:val="000000"/>
                <w:szCs w:val="28"/>
              </w:rPr>
            </w:pPr>
            <w:r w:rsidRPr="00C96C66">
              <w:rPr>
                <w:color w:val="000000"/>
                <w:szCs w:val="28"/>
              </w:rPr>
              <w:t>débit de dose instantané, affiché sous forme digitale, et qui correspond à un dosimètre avec affichage direct,</w:t>
            </w:r>
          </w:p>
          <w:p w:rsidR="001745E5" w:rsidRPr="00C96C66" w:rsidRDefault="001745E5" w:rsidP="001745E5">
            <w:pPr>
              <w:numPr>
                <w:ilvl w:val="0"/>
                <w:numId w:val="10"/>
              </w:numPr>
              <w:spacing w:before="60" w:after="60"/>
              <w:jc w:val="both"/>
              <w:rPr>
                <w:color w:val="000000"/>
                <w:szCs w:val="28"/>
              </w:rPr>
            </w:pPr>
            <w:r w:rsidRPr="00C96C66">
              <w:rPr>
                <w:color w:val="000000"/>
                <w:szCs w:val="28"/>
              </w:rPr>
              <w:t>débit de dose maximum,</w:t>
            </w:r>
          </w:p>
          <w:p w:rsidR="001745E5" w:rsidRPr="00602B58" w:rsidRDefault="001745E5" w:rsidP="00602B58">
            <w:pPr>
              <w:numPr>
                <w:ilvl w:val="0"/>
                <w:numId w:val="10"/>
              </w:numPr>
              <w:spacing w:before="60" w:after="60"/>
              <w:rPr>
                <w:color w:val="000000"/>
                <w:szCs w:val="28"/>
              </w:rPr>
            </w:pPr>
            <w:r w:rsidRPr="00C96C66">
              <w:rPr>
                <w:color w:val="000000"/>
                <w:szCs w:val="28"/>
              </w:rPr>
              <w:t>coups par secondes.</w:t>
            </w:r>
            <w:r w:rsidRPr="00602B58">
              <w:rPr>
                <w:rFonts w:ascii="Comic Sans MS" w:hAnsi="Comic Sans MS" w:cs="Arial"/>
                <w:szCs w:val="28"/>
              </w:rPr>
              <w:br/>
            </w:r>
            <w:r w:rsidRPr="00602B58">
              <w:rPr>
                <w:rFonts w:ascii="Comic Sans MS" w:hAnsi="Comic Sans MS" w:cs="Arial"/>
                <w:sz w:val="10"/>
                <w:szCs w:val="10"/>
              </w:rPr>
              <w:br/>
            </w:r>
            <w:r w:rsidRPr="00602B58">
              <w:rPr>
                <w:rFonts w:ascii="Comic Sans MS" w:hAnsi="Comic Sans MS" w:cs="Arial"/>
                <w:sz w:val="10"/>
                <w:szCs w:val="10"/>
              </w:rPr>
              <w:br/>
            </w:r>
            <w:r w:rsidRPr="00602B58">
              <w:rPr>
                <w:rFonts w:ascii="Comic Sans MS" w:hAnsi="Comic Sans MS" w:cs="Arial"/>
                <w:sz w:val="10"/>
                <w:szCs w:val="10"/>
              </w:rPr>
              <w:br/>
            </w:r>
            <w:r>
              <w:rPr>
                <w:rFonts w:ascii="Comic Sans MS" w:hAnsi="Comic Sans MS" w:cs="Arial"/>
                <w:noProof/>
                <w:sz w:val="10"/>
                <w:szCs w:val="10"/>
                <w:lang w:val="en-GB" w:eastAsia="en-GB"/>
              </w:rPr>
              <w:drawing>
                <wp:inline distT="0" distB="0" distL="0" distR="0">
                  <wp:extent cx="2042664" cy="2673285"/>
                  <wp:effectExtent l="1905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srcRect/>
                          <a:stretch>
                            <a:fillRect/>
                          </a:stretch>
                        </pic:blipFill>
                        <pic:spPr bwMode="auto">
                          <a:xfrm>
                            <a:off x="0" y="0"/>
                            <a:ext cx="2042568" cy="2673160"/>
                          </a:xfrm>
                          <a:prstGeom prst="rect">
                            <a:avLst/>
                          </a:prstGeom>
                          <a:noFill/>
                          <a:ln w="9525">
                            <a:noFill/>
                            <a:miter lim="800000"/>
                            <a:headEnd/>
                            <a:tailEnd/>
                          </a:ln>
                        </pic:spPr>
                      </pic:pic>
                    </a:graphicData>
                  </a:graphic>
                </wp:inline>
              </w:drawing>
            </w:r>
          </w:p>
          <w:p w:rsidR="001745E5" w:rsidRPr="00C96C66" w:rsidRDefault="001745E5" w:rsidP="001745E5">
            <w:pPr>
              <w:numPr>
                <w:ilvl w:val="0"/>
                <w:numId w:val="12"/>
              </w:numPr>
              <w:spacing w:before="60" w:after="60"/>
              <w:jc w:val="both"/>
              <w:rPr>
                <w:sz w:val="28"/>
                <w:szCs w:val="28"/>
                <w:u w:val="single"/>
              </w:rPr>
            </w:pPr>
            <w:r w:rsidRPr="00C96C66">
              <w:rPr>
                <w:szCs w:val="28"/>
              </w:rPr>
              <w:t xml:space="preserve">Le bouton </w:t>
            </w:r>
            <w:r w:rsidRPr="00C96C66">
              <w:rPr>
                <w:color w:val="00B050"/>
                <w:szCs w:val="28"/>
              </w:rPr>
              <w:t>ON </w:t>
            </w:r>
            <w:r w:rsidRPr="00C96C66">
              <w:rPr>
                <w:szCs w:val="28"/>
              </w:rPr>
              <w:t>: mise en marche en appuyant 1 seconde – Couper en maintenant jusqu’à l’extinction.</w:t>
            </w:r>
          </w:p>
          <w:p w:rsidR="00C96C66" w:rsidRDefault="001745E5" w:rsidP="00C96C66">
            <w:pPr>
              <w:numPr>
                <w:ilvl w:val="0"/>
                <w:numId w:val="12"/>
              </w:numPr>
              <w:spacing w:before="60" w:after="60"/>
              <w:jc w:val="both"/>
              <w:rPr>
                <w:sz w:val="28"/>
                <w:szCs w:val="28"/>
                <w:u w:val="single"/>
              </w:rPr>
            </w:pPr>
            <w:r w:rsidRPr="00C96C66">
              <w:rPr>
                <w:szCs w:val="28"/>
              </w:rPr>
              <w:t xml:space="preserve">Le bouton </w:t>
            </w:r>
            <w:r w:rsidRPr="00C96C66">
              <w:rPr>
                <w:color w:val="0070C0"/>
                <w:szCs w:val="28"/>
              </w:rPr>
              <w:t xml:space="preserve">U </w:t>
            </w:r>
            <w:r w:rsidRPr="00C96C66">
              <w:rPr>
                <w:szCs w:val="28"/>
              </w:rPr>
              <w:t>commute entre µSv/h et CPS</w:t>
            </w:r>
            <w:r w:rsidRPr="00C96C66">
              <w:rPr>
                <w:color w:val="0070C0"/>
                <w:szCs w:val="28"/>
              </w:rPr>
              <w:t xml:space="preserve"> </w:t>
            </w:r>
          </w:p>
          <w:p w:rsidR="001745E5" w:rsidRPr="00602B58" w:rsidRDefault="001745E5" w:rsidP="002F05DD">
            <w:pPr>
              <w:numPr>
                <w:ilvl w:val="0"/>
                <w:numId w:val="12"/>
              </w:numPr>
              <w:spacing w:before="60" w:after="60"/>
              <w:jc w:val="both"/>
              <w:rPr>
                <w:sz w:val="28"/>
                <w:szCs w:val="28"/>
                <w:u w:val="single"/>
              </w:rPr>
            </w:pPr>
            <w:r w:rsidRPr="00C96C66">
              <w:rPr>
                <w:szCs w:val="28"/>
              </w:rPr>
              <w:t xml:space="preserve">Le bouton </w:t>
            </w:r>
            <w:r w:rsidRPr="00C96C66">
              <w:rPr>
                <w:color w:val="FF0000"/>
                <w:szCs w:val="28"/>
              </w:rPr>
              <w:t>M</w:t>
            </w:r>
            <w:r w:rsidRPr="00C96C66">
              <w:rPr>
                <w:szCs w:val="28"/>
              </w:rPr>
              <w:t xml:space="preserve"> affiche la valeur maximum (le mot MAX est affiché)</w:t>
            </w:r>
          </w:p>
          <w:p w:rsidR="00602B58" w:rsidRDefault="001745E5" w:rsidP="002F05DD">
            <w:pPr>
              <w:spacing w:before="60" w:after="60"/>
              <w:ind w:left="365"/>
              <w:jc w:val="both"/>
            </w:pPr>
            <w:r w:rsidRPr="00C96C66">
              <w:t xml:space="preserve">Avant utilisation : porter les EPI nécessaires pour le travail dans la zone à contrôler et votre dosimètre. </w:t>
            </w:r>
          </w:p>
          <w:p w:rsidR="001745E5" w:rsidRPr="00C96C66" w:rsidRDefault="001745E5" w:rsidP="002F05DD">
            <w:pPr>
              <w:spacing w:before="60" w:after="60"/>
              <w:ind w:left="365"/>
              <w:jc w:val="both"/>
            </w:pPr>
            <w:r w:rsidRPr="00C96C66">
              <w:t xml:space="preserve">Retirer la protection plastique de la grille sur la face inférieure du </w:t>
            </w:r>
            <w:proofErr w:type="spellStart"/>
            <w:r w:rsidRPr="00C96C66">
              <w:t>radiamètre</w:t>
            </w:r>
            <w:proofErr w:type="spellEnd"/>
            <w:r w:rsidR="00602B58">
              <w:t>.</w:t>
            </w:r>
          </w:p>
          <w:p w:rsidR="001745E5" w:rsidRPr="00C96C66" w:rsidRDefault="001745E5" w:rsidP="002F05DD">
            <w:pPr>
              <w:spacing w:before="60" w:after="60"/>
              <w:ind w:left="1352" w:hanging="987"/>
              <w:jc w:val="both"/>
            </w:pPr>
            <w:r w:rsidRPr="00C96C66">
              <w:t xml:space="preserve">Mettre en marche le </w:t>
            </w:r>
            <w:proofErr w:type="spellStart"/>
            <w:r w:rsidRPr="00C96C66">
              <w:t>radiamètre</w:t>
            </w:r>
            <w:proofErr w:type="spellEnd"/>
            <w:r w:rsidR="00602B58">
              <w:t>.</w:t>
            </w:r>
          </w:p>
          <w:p w:rsidR="001745E5" w:rsidRPr="00C96C66" w:rsidRDefault="001745E5" w:rsidP="002F05DD">
            <w:pPr>
              <w:spacing w:before="60" w:after="60"/>
              <w:ind w:left="365"/>
              <w:jc w:val="both"/>
            </w:pPr>
            <w:r w:rsidRPr="00C96C66">
              <w:t>Commuter en CPS et balayer au dessus de la surface à contrôler pour identifier d’éventuels points chauds</w:t>
            </w:r>
            <w:r w:rsidR="00602B58">
              <w:t>.</w:t>
            </w:r>
          </w:p>
          <w:p w:rsidR="001745E5" w:rsidRPr="00602B58" w:rsidRDefault="001745E5" w:rsidP="00602B58">
            <w:pPr>
              <w:spacing w:before="60" w:after="60"/>
              <w:ind w:left="365"/>
              <w:jc w:val="both"/>
            </w:pPr>
            <w:r w:rsidRPr="00C96C66">
              <w:t xml:space="preserve">Si la mesure dépasse le bruit de fond, </w:t>
            </w:r>
            <w:proofErr w:type="gramStart"/>
            <w:r w:rsidRPr="00C96C66">
              <w:t>commuter</w:t>
            </w:r>
            <w:proofErr w:type="gramEnd"/>
            <w:r w:rsidRPr="00C96C66">
              <w:t xml:space="preserve"> en µSv/h afin de déterminer le débit de dose à l’endroit contaminé détecté.</w:t>
            </w:r>
          </w:p>
          <w:p w:rsidR="001745E5" w:rsidRPr="00602B58" w:rsidRDefault="001745E5" w:rsidP="00602B58">
            <w:pPr>
              <w:spacing w:before="60" w:after="60"/>
              <w:ind w:left="365"/>
              <w:jc w:val="both"/>
            </w:pPr>
            <w:r w:rsidRPr="00602B58">
              <w:t xml:space="preserve">En cas de contamination prévenir le chef du Service de Contrôle Physique et l’informer des débits de doses mesurés.  </w:t>
            </w:r>
          </w:p>
          <w:p w:rsidR="001745E5" w:rsidRPr="00602B58" w:rsidRDefault="001745E5" w:rsidP="00602B58">
            <w:pPr>
              <w:spacing w:before="60" w:after="60"/>
              <w:ind w:left="365"/>
              <w:jc w:val="both"/>
            </w:pPr>
            <w:r w:rsidRPr="00602B58">
              <w:t>Pour la décontamination, se référer à la procédure technique N° 53 de médecine nucléaire.</w:t>
            </w:r>
          </w:p>
          <w:p w:rsidR="001745E5" w:rsidRDefault="001745E5" w:rsidP="002F05DD">
            <w:pPr>
              <w:spacing w:before="60" w:after="60"/>
              <w:ind w:left="1352" w:hanging="987"/>
              <w:jc w:val="both"/>
            </w:pPr>
            <w:r w:rsidRPr="00602B58">
              <w:t xml:space="preserve">Le manuel d’utilisation du </w:t>
            </w:r>
            <w:proofErr w:type="spellStart"/>
            <w:r w:rsidRPr="00602B58">
              <w:t>radiamètre</w:t>
            </w:r>
            <w:proofErr w:type="spellEnd"/>
            <w:r w:rsidRPr="00602B58">
              <w:t xml:space="preserve"> se trouve dans le labo chaud.  </w:t>
            </w:r>
          </w:p>
          <w:p w:rsidR="00602B58" w:rsidRPr="00602B58" w:rsidRDefault="00602B58" w:rsidP="002F05DD">
            <w:pPr>
              <w:spacing w:before="60" w:after="60"/>
              <w:ind w:left="1352" w:hanging="987"/>
              <w:jc w:val="both"/>
            </w:pPr>
          </w:p>
          <w:p w:rsidR="00602B58" w:rsidRPr="007843EA" w:rsidRDefault="00602B58" w:rsidP="007843EA">
            <w:pPr>
              <w:pStyle w:val="Titre1"/>
              <w:numPr>
                <w:ilvl w:val="1"/>
                <w:numId w:val="18"/>
              </w:numPr>
              <w:jc w:val="left"/>
              <w:rPr>
                <w:rFonts w:ascii="Times New Roman" w:hAnsi="Times New Roman" w:cs="Times New Roman"/>
                <w:color w:val="auto"/>
                <w:sz w:val="24"/>
                <w:szCs w:val="24"/>
              </w:rPr>
            </w:pPr>
            <w:bookmarkStart w:id="11" w:name="_Toc70948789"/>
            <w:r w:rsidRPr="007843EA">
              <w:rPr>
                <w:rFonts w:ascii="Times New Roman" w:hAnsi="Times New Roman" w:cs="Times New Roman"/>
                <w:color w:val="auto"/>
                <w:sz w:val="24"/>
                <w:szCs w:val="24"/>
              </w:rPr>
              <w:lastRenderedPageBreak/>
              <w:t>Chambre à ionisation RAM ION</w:t>
            </w:r>
            <w:bookmarkEnd w:id="11"/>
            <w:r w:rsidR="007B76F9" w:rsidRPr="007843EA">
              <w:rPr>
                <w:rFonts w:ascii="Times New Roman" w:hAnsi="Times New Roman" w:cs="Times New Roman"/>
                <w:color w:val="auto"/>
                <w:sz w:val="24"/>
                <w:szCs w:val="24"/>
              </w:rPr>
              <w:br/>
            </w:r>
          </w:p>
          <w:p w:rsidR="007B76F9" w:rsidRPr="007B76F9" w:rsidRDefault="007B76F9" w:rsidP="007B76F9">
            <w:pPr>
              <w:spacing w:before="120" w:after="120"/>
              <w:ind w:left="789"/>
              <w:jc w:val="both"/>
              <w:rPr>
                <w:u w:val="single"/>
              </w:rPr>
            </w:pPr>
            <w:r w:rsidRPr="007B76F9">
              <w:t xml:space="preserve">Appareil portable de détection et de mesure des </w:t>
            </w:r>
            <w:r w:rsidRPr="007B76F9">
              <w:rPr>
                <w:u w:val="single"/>
              </w:rPr>
              <w:t xml:space="preserve">rayonnements X </w:t>
            </w:r>
            <w:r>
              <w:rPr>
                <w:u w:val="single"/>
              </w:rPr>
              <w:t>et gamma +</w:t>
            </w:r>
            <w:r w:rsidRPr="007B76F9">
              <w:rPr>
                <w:u w:val="single"/>
              </w:rPr>
              <w:t xml:space="preserve"> béta</w:t>
            </w:r>
            <w:r w:rsidRPr="007B76F9">
              <w:t xml:space="preserve">, il fonctionne avec deux piles 1,5V type C et contient une chambre d’ionisation. </w:t>
            </w:r>
            <w:r>
              <w:br/>
            </w:r>
            <w:r w:rsidRPr="007B76F9">
              <w:t xml:space="preserve">Les zones de mesures </w:t>
            </w:r>
            <w:r w:rsidRPr="007B76F9">
              <w:rPr>
                <w:color w:val="000000"/>
              </w:rPr>
              <w:t>couvertes : 1</w:t>
            </w:r>
            <w:r w:rsidRPr="007B76F9">
              <w:t xml:space="preserve"> µSv/h à 500  </w:t>
            </w:r>
            <w:proofErr w:type="spellStart"/>
            <w:r w:rsidRPr="007B76F9">
              <w:t>mSv</w:t>
            </w:r>
            <w:proofErr w:type="spellEnd"/>
            <w:r w:rsidRPr="007B76F9">
              <w:t>/h.</w:t>
            </w:r>
          </w:p>
          <w:p w:rsidR="007B76F9" w:rsidRPr="001D7199" w:rsidRDefault="007B76F9" w:rsidP="001D7199">
            <w:pPr>
              <w:spacing w:before="60" w:after="60"/>
              <w:ind w:left="720"/>
              <w:jc w:val="both"/>
            </w:pPr>
            <w:r w:rsidRPr="007B76F9">
              <w:t>On utilise la chambre d’ionisation RAM ION pour mesurer une fuite en X ou un rayonnement X diffusé.  La chambre d’ionisation RAM ION donne des bons résultats en mode pulsé.</w:t>
            </w:r>
            <w:r w:rsidRPr="007B76F9">
              <w:rPr>
                <w:color w:val="00B050"/>
              </w:rPr>
              <w:t xml:space="preserve">  </w:t>
            </w:r>
            <w:r w:rsidRPr="007B76F9">
              <w:rPr>
                <w:color w:val="FF0000"/>
              </w:rPr>
              <w:t>Elle ne convient pas pour des mesures dans le X direct.</w:t>
            </w:r>
            <w:r w:rsidRPr="007B76F9">
              <w:br/>
            </w:r>
            <w:r w:rsidRPr="007B76F9">
              <w:br/>
            </w:r>
            <w:r w:rsidRPr="007B76F9">
              <w:br/>
            </w:r>
            <w:r>
              <w:rPr>
                <w:rFonts w:ascii="Comic Sans MS" w:hAnsi="Comic Sans MS" w:cs="Arial"/>
                <w:sz w:val="10"/>
                <w:szCs w:val="10"/>
              </w:rPr>
              <w:br/>
            </w:r>
            <w:r>
              <w:rPr>
                <w:noProof/>
                <w:lang w:val="en-GB" w:eastAsia="en-GB"/>
              </w:rPr>
              <w:drawing>
                <wp:inline distT="0" distB="0" distL="0" distR="0">
                  <wp:extent cx="3881755" cy="3545205"/>
                  <wp:effectExtent l="19050" t="0" r="4445" b="0"/>
                  <wp:docPr id="27" name="Image 17" descr="RAM-ION-mereni-radiace-o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AM-ION-mereni-radiace-obr"/>
                          <pic:cNvPicPr>
                            <a:picLocks noChangeAspect="1" noChangeArrowheads="1"/>
                          </pic:cNvPicPr>
                        </pic:nvPicPr>
                        <pic:blipFill>
                          <a:blip r:embed="rId13" cstate="print"/>
                          <a:srcRect/>
                          <a:stretch>
                            <a:fillRect/>
                          </a:stretch>
                        </pic:blipFill>
                        <pic:spPr bwMode="auto">
                          <a:xfrm>
                            <a:off x="0" y="0"/>
                            <a:ext cx="3881755" cy="3545205"/>
                          </a:xfrm>
                          <a:prstGeom prst="rect">
                            <a:avLst/>
                          </a:prstGeom>
                          <a:noFill/>
                          <a:ln w="9525">
                            <a:noFill/>
                            <a:miter lim="800000"/>
                            <a:headEnd/>
                            <a:tailEnd/>
                          </a:ln>
                        </pic:spPr>
                      </pic:pic>
                    </a:graphicData>
                  </a:graphic>
                </wp:inline>
              </w:drawing>
            </w:r>
            <w:r>
              <w:rPr>
                <w:rFonts w:ascii="Comic Sans MS" w:hAnsi="Comic Sans MS" w:cs="Arial"/>
                <w:sz w:val="10"/>
                <w:szCs w:val="10"/>
              </w:rPr>
              <w:br/>
            </w:r>
            <w:r>
              <w:rPr>
                <w:rFonts w:ascii="Comic Sans MS" w:hAnsi="Comic Sans MS" w:cs="Arial"/>
                <w:sz w:val="10"/>
                <w:szCs w:val="10"/>
              </w:rPr>
              <w:br/>
            </w:r>
            <w:r>
              <w:rPr>
                <w:rFonts w:ascii="Comic Sans MS" w:hAnsi="Comic Sans MS" w:cs="Arial"/>
                <w:sz w:val="10"/>
                <w:szCs w:val="10"/>
              </w:rPr>
              <w:br/>
            </w:r>
            <w:r>
              <w:rPr>
                <w:rFonts w:ascii="Comic Sans MS" w:hAnsi="Comic Sans MS" w:cs="Arial"/>
                <w:sz w:val="10"/>
                <w:szCs w:val="10"/>
              </w:rPr>
              <w:br/>
            </w:r>
            <w:r>
              <w:rPr>
                <w:rFonts w:ascii="Comic Sans MS" w:hAnsi="Comic Sans MS" w:cs="Arial"/>
                <w:noProof/>
                <w:sz w:val="10"/>
                <w:szCs w:val="10"/>
                <w:lang w:val="en-GB" w:eastAsia="en-GB"/>
              </w:rPr>
              <w:lastRenderedPageBreak/>
              <w:drawing>
                <wp:inline distT="0" distB="0" distL="0" distR="0">
                  <wp:extent cx="3735070" cy="3286760"/>
                  <wp:effectExtent l="19050" t="0" r="0" b="0"/>
                  <wp:docPr id="2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srcRect/>
                          <a:stretch>
                            <a:fillRect/>
                          </a:stretch>
                        </pic:blipFill>
                        <pic:spPr bwMode="auto">
                          <a:xfrm>
                            <a:off x="0" y="0"/>
                            <a:ext cx="3735070" cy="3286760"/>
                          </a:xfrm>
                          <a:prstGeom prst="rect">
                            <a:avLst/>
                          </a:prstGeom>
                          <a:noFill/>
                          <a:ln w="9525">
                            <a:noFill/>
                            <a:miter lim="800000"/>
                            <a:headEnd/>
                            <a:tailEnd/>
                          </a:ln>
                        </pic:spPr>
                      </pic:pic>
                    </a:graphicData>
                  </a:graphic>
                </wp:inline>
              </w:drawing>
            </w:r>
            <w:r>
              <w:rPr>
                <w:rFonts w:ascii="Comic Sans MS" w:hAnsi="Comic Sans MS" w:cs="Arial"/>
                <w:sz w:val="10"/>
                <w:szCs w:val="10"/>
              </w:rPr>
              <w:br/>
            </w:r>
          </w:p>
          <w:p w:rsidR="007B76F9" w:rsidRPr="001D7199" w:rsidRDefault="007B76F9" w:rsidP="007B76F9">
            <w:pPr>
              <w:numPr>
                <w:ilvl w:val="0"/>
                <w:numId w:val="13"/>
              </w:numPr>
              <w:spacing w:before="60" w:after="60"/>
              <w:jc w:val="both"/>
              <w:rPr>
                <w:sz w:val="28"/>
                <w:szCs w:val="28"/>
                <w:u w:val="single"/>
              </w:rPr>
            </w:pPr>
            <w:r w:rsidRPr="001D7199">
              <w:rPr>
                <w:szCs w:val="28"/>
              </w:rPr>
              <w:t xml:space="preserve">Le bouton </w:t>
            </w:r>
            <w:r w:rsidRPr="001D7199">
              <w:rPr>
                <w:color w:val="0070C0"/>
                <w:szCs w:val="28"/>
              </w:rPr>
              <w:t>ON OFF</w:t>
            </w:r>
            <w:r w:rsidRPr="001D7199">
              <w:rPr>
                <w:color w:val="00B050"/>
                <w:szCs w:val="28"/>
              </w:rPr>
              <w:t> </w:t>
            </w:r>
            <w:r w:rsidRPr="001D7199">
              <w:rPr>
                <w:szCs w:val="28"/>
              </w:rPr>
              <w:t>: mise en marche en appuyant brièvement –  un cycle de mise en route (SET) de 40 secondes démarre.</w:t>
            </w:r>
          </w:p>
          <w:p w:rsidR="007B76F9" w:rsidRPr="001D7199" w:rsidRDefault="007B76F9" w:rsidP="001D7199">
            <w:pPr>
              <w:spacing w:before="60" w:after="60"/>
              <w:ind w:left="648"/>
              <w:jc w:val="both"/>
              <w:rPr>
                <w:szCs w:val="28"/>
              </w:rPr>
            </w:pPr>
            <w:r w:rsidRPr="001D7199">
              <w:rPr>
                <w:szCs w:val="28"/>
              </w:rPr>
              <w:t>Couper en maintenant quelques secondes.</w:t>
            </w:r>
          </w:p>
          <w:p w:rsidR="001D7199" w:rsidRPr="001D7199" w:rsidRDefault="007B76F9" w:rsidP="001D7199">
            <w:pPr>
              <w:numPr>
                <w:ilvl w:val="0"/>
                <w:numId w:val="13"/>
              </w:numPr>
              <w:spacing w:before="60" w:after="60"/>
              <w:rPr>
                <w:sz w:val="28"/>
                <w:szCs w:val="28"/>
                <w:u w:val="single"/>
              </w:rPr>
            </w:pPr>
            <w:r w:rsidRPr="001D7199">
              <w:rPr>
                <w:szCs w:val="28"/>
              </w:rPr>
              <w:t xml:space="preserve">Le bouton </w:t>
            </w:r>
            <w:r w:rsidRPr="001D7199">
              <w:rPr>
                <w:color w:val="0070C0"/>
                <w:szCs w:val="28"/>
              </w:rPr>
              <w:t xml:space="preserve">MODE </w:t>
            </w:r>
            <w:r w:rsidRPr="001D7199">
              <w:rPr>
                <w:szCs w:val="28"/>
              </w:rPr>
              <w:t>commute entre </w:t>
            </w:r>
          </w:p>
          <w:p w:rsidR="001D7199" w:rsidRDefault="007B76F9" w:rsidP="001D7199">
            <w:pPr>
              <w:numPr>
                <w:ilvl w:val="1"/>
                <w:numId w:val="13"/>
              </w:numPr>
              <w:spacing w:before="60" w:after="60"/>
              <w:rPr>
                <w:sz w:val="28"/>
                <w:szCs w:val="28"/>
                <w:u w:val="single"/>
              </w:rPr>
            </w:pPr>
            <w:r w:rsidRPr="001D7199">
              <w:rPr>
                <w:szCs w:val="28"/>
              </w:rPr>
              <w:t>débit de dose µSv/h et dose µSv (appuis long)</w:t>
            </w:r>
            <w:r w:rsidRPr="001D7199">
              <w:rPr>
                <w:color w:val="0070C0"/>
                <w:szCs w:val="28"/>
              </w:rPr>
              <w:t xml:space="preserve"> </w:t>
            </w:r>
          </w:p>
          <w:p w:rsidR="001D7199" w:rsidRDefault="007B76F9" w:rsidP="001D7199">
            <w:pPr>
              <w:numPr>
                <w:ilvl w:val="1"/>
                <w:numId w:val="13"/>
              </w:numPr>
              <w:spacing w:before="60" w:after="60"/>
              <w:rPr>
                <w:sz w:val="28"/>
                <w:szCs w:val="28"/>
                <w:u w:val="single"/>
              </w:rPr>
            </w:pPr>
            <w:r w:rsidRPr="001D7199">
              <w:rPr>
                <w:szCs w:val="28"/>
              </w:rPr>
              <w:t xml:space="preserve">µSv/h en </w:t>
            </w:r>
            <w:proofErr w:type="spellStart"/>
            <w:r w:rsidRPr="001D7199">
              <w:rPr>
                <w:szCs w:val="28"/>
              </w:rPr>
              <w:t>mSv</w:t>
            </w:r>
            <w:proofErr w:type="spellEnd"/>
            <w:r w:rsidRPr="001D7199">
              <w:rPr>
                <w:szCs w:val="28"/>
              </w:rPr>
              <w:t>/h (appuis court depuis le mode débit de dose)</w:t>
            </w:r>
          </w:p>
          <w:p w:rsidR="007B76F9" w:rsidRPr="001D7199" w:rsidRDefault="007B76F9" w:rsidP="001D7199">
            <w:pPr>
              <w:numPr>
                <w:ilvl w:val="1"/>
                <w:numId w:val="13"/>
              </w:numPr>
              <w:spacing w:before="60" w:after="60"/>
              <w:rPr>
                <w:sz w:val="28"/>
                <w:szCs w:val="28"/>
                <w:u w:val="single"/>
              </w:rPr>
            </w:pPr>
            <w:r w:rsidRPr="001D7199">
              <w:rPr>
                <w:szCs w:val="28"/>
              </w:rPr>
              <w:t xml:space="preserve">µSv en </w:t>
            </w:r>
            <w:proofErr w:type="spellStart"/>
            <w:r w:rsidRPr="001D7199">
              <w:rPr>
                <w:szCs w:val="28"/>
              </w:rPr>
              <w:t>mSv</w:t>
            </w:r>
            <w:proofErr w:type="spellEnd"/>
            <w:r w:rsidRPr="001D7199">
              <w:rPr>
                <w:szCs w:val="28"/>
              </w:rPr>
              <w:t xml:space="preserve"> (appuis court depuis le mode dose)</w:t>
            </w:r>
          </w:p>
          <w:p w:rsidR="007B76F9" w:rsidRPr="001D7199" w:rsidRDefault="007B76F9" w:rsidP="007B76F9">
            <w:pPr>
              <w:spacing w:before="60" w:after="60"/>
              <w:ind w:left="1800"/>
              <w:jc w:val="both"/>
              <w:rPr>
                <w:sz w:val="10"/>
                <w:szCs w:val="10"/>
              </w:rPr>
            </w:pPr>
          </w:p>
          <w:p w:rsidR="007B76F9" w:rsidRPr="001D7199" w:rsidRDefault="007B76F9" w:rsidP="001D7199">
            <w:pPr>
              <w:numPr>
                <w:ilvl w:val="0"/>
                <w:numId w:val="13"/>
              </w:numPr>
              <w:spacing w:before="60" w:after="60"/>
              <w:rPr>
                <w:szCs w:val="28"/>
              </w:rPr>
            </w:pPr>
            <w:r w:rsidRPr="001D7199">
              <w:rPr>
                <w:szCs w:val="28"/>
              </w:rPr>
              <w:t xml:space="preserve">Le bouton </w:t>
            </w:r>
            <w:proofErr w:type="spellStart"/>
            <w:r w:rsidRPr="001D7199">
              <w:rPr>
                <w:color w:val="0070C0"/>
                <w:szCs w:val="28"/>
              </w:rPr>
              <w:t>B.Code</w:t>
            </w:r>
            <w:proofErr w:type="spellEnd"/>
            <w:r w:rsidRPr="001D7199">
              <w:rPr>
                <w:color w:val="0070C0"/>
                <w:szCs w:val="28"/>
              </w:rPr>
              <w:t>/Reset</w:t>
            </w:r>
            <w:r w:rsidRPr="001D7199">
              <w:rPr>
                <w:szCs w:val="28"/>
              </w:rPr>
              <w:t xml:space="preserve"> affiche la valeur maximum (l’unité de mesure s’affiche alors par intermittence).</w:t>
            </w:r>
            <w:r w:rsidR="001D7199">
              <w:rPr>
                <w:szCs w:val="28"/>
              </w:rPr>
              <w:br/>
            </w:r>
            <w:r w:rsidRPr="001D7199">
              <w:rPr>
                <w:szCs w:val="28"/>
              </w:rPr>
              <w:t>En mode dose, effacer la dose en appuyant 4 secondes</w:t>
            </w:r>
            <w:r w:rsidR="001D7199">
              <w:rPr>
                <w:szCs w:val="28"/>
              </w:rPr>
              <w:br/>
            </w:r>
          </w:p>
          <w:p w:rsidR="007B76F9" w:rsidRPr="001D7199" w:rsidRDefault="007B76F9" w:rsidP="007B76F9">
            <w:pPr>
              <w:numPr>
                <w:ilvl w:val="0"/>
                <w:numId w:val="13"/>
              </w:numPr>
              <w:spacing w:before="60" w:after="60"/>
              <w:jc w:val="both"/>
              <w:rPr>
                <w:szCs w:val="28"/>
              </w:rPr>
            </w:pPr>
            <w:r w:rsidRPr="001D7199">
              <w:rPr>
                <w:szCs w:val="28"/>
              </w:rPr>
              <w:t xml:space="preserve">Le bouton </w:t>
            </w:r>
            <w:r w:rsidRPr="001D7199">
              <w:rPr>
                <w:color w:val="0070C0"/>
                <w:szCs w:val="28"/>
              </w:rPr>
              <w:t>Store/light</w:t>
            </w:r>
            <w:r w:rsidRPr="001D7199">
              <w:rPr>
                <w:szCs w:val="28"/>
              </w:rPr>
              <w:t xml:space="preserve"> maintenu 3 seconde permet d’éclairer l’écran.</w:t>
            </w:r>
          </w:p>
          <w:p w:rsidR="007B76F9" w:rsidRPr="001D7199" w:rsidRDefault="007B76F9" w:rsidP="001D7199">
            <w:pPr>
              <w:spacing w:before="60" w:after="60"/>
              <w:ind w:left="720"/>
              <w:jc w:val="both"/>
              <w:rPr>
                <w:szCs w:val="28"/>
              </w:rPr>
            </w:pPr>
            <w:r w:rsidRPr="001D7199">
              <w:rPr>
                <w:szCs w:val="28"/>
              </w:rPr>
              <w:t>Le bouton Store/light appuyé brièvement enregistre la valeur mesurée.</w:t>
            </w:r>
          </w:p>
          <w:p w:rsidR="007B76F9" w:rsidRPr="001D7199" w:rsidRDefault="007B76F9" w:rsidP="001D7199">
            <w:pPr>
              <w:spacing w:before="60" w:after="60"/>
              <w:ind w:left="720"/>
              <w:jc w:val="both"/>
              <w:rPr>
                <w:szCs w:val="28"/>
              </w:rPr>
            </w:pPr>
            <w:r w:rsidRPr="001D7199">
              <w:rPr>
                <w:szCs w:val="28"/>
              </w:rPr>
              <w:t xml:space="preserve">Les valeurs enregistrées peuvent être transférées </w:t>
            </w:r>
            <w:proofErr w:type="gramStart"/>
            <w:r w:rsidRPr="001D7199">
              <w:rPr>
                <w:szCs w:val="28"/>
              </w:rPr>
              <w:t>a</w:t>
            </w:r>
            <w:proofErr w:type="gramEnd"/>
            <w:r w:rsidRPr="001D7199">
              <w:rPr>
                <w:szCs w:val="28"/>
              </w:rPr>
              <w:t xml:space="preserve"> un PC via un </w:t>
            </w:r>
            <w:proofErr w:type="spellStart"/>
            <w:r w:rsidRPr="001D7199">
              <w:rPr>
                <w:szCs w:val="28"/>
              </w:rPr>
              <w:t>cable</w:t>
            </w:r>
            <w:proofErr w:type="spellEnd"/>
            <w:r w:rsidRPr="001D7199">
              <w:rPr>
                <w:szCs w:val="28"/>
              </w:rPr>
              <w:t xml:space="preserve"> présent dans la valise.</w:t>
            </w:r>
          </w:p>
          <w:p w:rsidR="007B76F9" w:rsidRPr="001D7199" w:rsidRDefault="007B76F9" w:rsidP="007B76F9">
            <w:pPr>
              <w:numPr>
                <w:ilvl w:val="0"/>
                <w:numId w:val="13"/>
              </w:numPr>
              <w:spacing w:before="60" w:after="60"/>
              <w:jc w:val="both"/>
            </w:pPr>
            <w:r w:rsidRPr="001D7199">
              <w:t>Le cache sur la face avant permet de bloquer le rayonnement béta.</w:t>
            </w:r>
          </w:p>
          <w:p w:rsidR="007B76F9" w:rsidRPr="001D7199" w:rsidRDefault="007B76F9" w:rsidP="007B76F9">
            <w:pPr>
              <w:spacing w:before="60" w:after="60"/>
              <w:ind w:left="720"/>
              <w:jc w:val="both"/>
            </w:pPr>
            <w:r w:rsidRPr="001D7199">
              <w:t>Pour une mesure béta + gamma : retirer le filtre. Pour une mesure de gamma seul, laisser le filtre.</w:t>
            </w:r>
          </w:p>
          <w:p w:rsidR="007B76F9" w:rsidRPr="001D7199" w:rsidRDefault="007B76F9" w:rsidP="007B76F9">
            <w:pPr>
              <w:spacing w:before="60" w:after="60"/>
              <w:ind w:left="720"/>
              <w:jc w:val="both"/>
            </w:pPr>
          </w:p>
          <w:p w:rsidR="007B76F9" w:rsidRPr="001D7199" w:rsidRDefault="007B76F9" w:rsidP="001D7199">
            <w:pPr>
              <w:numPr>
                <w:ilvl w:val="0"/>
                <w:numId w:val="13"/>
              </w:numPr>
              <w:spacing w:before="60" w:after="60"/>
              <w:jc w:val="both"/>
            </w:pPr>
            <w:r w:rsidRPr="001D7199">
              <w:t xml:space="preserve">Avant utilisation : porter les EPI nécessaires pour le travail dans la zone à contrôler et votre dosimètre. </w:t>
            </w:r>
          </w:p>
          <w:p w:rsidR="007B76F9" w:rsidRPr="001D7199" w:rsidRDefault="007B76F9" w:rsidP="007B76F9">
            <w:pPr>
              <w:spacing w:before="60" w:after="60"/>
              <w:ind w:left="365"/>
              <w:jc w:val="both"/>
            </w:pPr>
          </w:p>
          <w:p w:rsidR="001745E5" w:rsidRPr="00CA682F" w:rsidRDefault="007B76F9" w:rsidP="00D25C21">
            <w:pPr>
              <w:numPr>
                <w:ilvl w:val="0"/>
                <w:numId w:val="13"/>
              </w:numPr>
              <w:spacing w:before="60" w:after="60"/>
              <w:rPr>
                <w:rFonts w:ascii="Comic Sans MS" w:hAnsi="Comic Sans MS" w:cs="Arial"/>
                <w:sz w:val="2"/>
                <w:szCs w:val="2"/>
              </w:rPr>
            </w:pPr>
            <w:r w:rsidRPr="001D7199">
              <w:t xml:space="preserve">Le manuel d’utilisation du RAM ION se trouve dans sa valise.  </w:t>
            </w:r>
          </w:p>
        </w:tc>
      </w:tr>
      <w:tr w:rsidR="001745E5" w:rsidRPr="004C79E2" w:rsidTr="00602B58">
        <w:trPr>
          <w:trHeight w:val="1531"/>
        </w:trPr>
        <w:tc>
          <w:tcPr>
            <w:tcW w:w="237" w:type="dxa"/>
            <w:tcBorders>
              <w:top w:val="nil"/>
              <w:bottom w:val="nil"/>
            </w:tcBorders>
          </w:tcPr>
          <w:p w:rsidR="001745E5" w:rsidRDefault="001745E5" w:rsidP="002F05DD">
            <w:pPr>
              <w:jc w:val="right"/>
              <w:rPr>
                <w:rFonts w:ascii="Comic Sans MS" w:hAnsi="Comic Sans MS" w:cs="Arial"/>
                <w:b/>
                <w:noProof/>
                <w:color w:val="333399"/>
                <w:sz w:val="20"/>
              </w:rPr>
            </w:pPr>
          </w:p>
          <w:p w:rsidR="001745E5" w:rsidRDefault="001745E5" w:rsidP="002F05DD">
            <w:pPr>
              <w:jc w:val="center"/>
              <w:rPr>
                <w:rFonts w:ascii="Comic Sans MS" w:hAnsi="Comic Sans MS" w:cs="Arial"/>
                <w:b/>
                <w:noProof/>
                <w:color w:val="333399"/>
                <w:sz w:val="28"/>
              </w:rPr>
            </w:pPr>
            <w:r>
              <w:rPr>
                <w:rFonts w:ascii="Comic Sans MS" w:hAnsi="Comic Sans MS" w:cs="Arial"/>
                <w:b/>
                <w:noProof/>
                <w:color w:val="333399"/>
                <w:sz w:val="20"/>
                <w:szCs w:val="22"/>
              </w:rPr>
              <w:t xml:space="preserve">                </w:t>
            </w:r>
          </w:p>
          <w:p w:rsidR="001745E5" w:rsidRDefault="001745E5" w:rsidP="002F05DD">
            <w:pPr>
              <w:rPr>
                <w:rFonts w:ascii="Comic Sans MS" w:hAnsi="Comic Sans MS" w:cs="Arial"/>
                <w:b/>
                <w:noProof/>
                <w:color w:val="333399"/>
                <w:sz w:val="20"/>
              </w:rPr>
            </w:pPr>
          </w:p>
          <w:p w:rsidR="001745E5" w:rsidRDefault="001745E5" w:rsidP="002F05DD">
            <w:pPr>
              <w:rPr>
                <w:rFonts w:ascii="Comic Sans MS" w:hAnsi="Comic Sans MS" w:cs="Arial"/>
                <w:b/>
                <w:noProof/>
                <w:color w:val="333399"/>
                <w:sz w:val="20"/>
              </w:rPr>
            </w:pPr>
          </w:p>
          <w:p w:rsidR="001745E5" w:rsidRDefault="001745E5" w:rsidP="002F05DD">
            <w:pPr>
              <w:rPr>
                <w:rFonts w:ascii="Comic Sans MS" w:hAnsi="Comic Sans MS" w:cs="Arial"/>
                <w:b/>
                <w:noProof/>
                <w:color w:val="333399"/>
                <w:sz w:val="20"/>
              </w:rPr>
            </w:pPr>
          </w:p>
          <w:p w:rsidR="001745E5" w:rsidRDefault="001745E5" w:rsidP="002F05DD">
            <w:pPr>
              <w:jc w:val="right"/>
              <w:rPr>
                <w:rFonts w:ascii="Comic Sans MS" w:hAnsi="Comic Sans MS" w:cs="Arial"/>
                <w:b/>
                <w:noProof/>
                <w:color w:val="333399"/>
                <w:sz w:val="20"/>
              </w:rPr>
            </w:pPr>
          </w:p>
          <w:p w:rsidR="001745E5" w:rsidRDefault="001745E5" w:rsidP="002F05DD">
            <w:pPr>
              <w:jc w:val="right"/>
              <w:rPr>
                <w:rFonts w:ascii="Comic Sans MS" w:hAnsi="Comic Sans MS" w:cs="Arial"/>
                <w:b/>
                <w:noProof/>
                <w:color w:val="333399"/>
                <w:sz w:val="20"/>
              </w:rPr>
            </w:pPr>
          </w:p>
        </w:tc>
        <w:tc>
          <w:tcPr>
            <w:tcW w:w="9303" w:type="dxa"/>
            <w:gridSpan w:val="2"/>
            <w:tcBorders>
              <w:top w:val="nil"/>
              <w:bottom w:val="nil"/>
            </w:tcBorders>
          </w:tcPr>
          <w:p w:rsidR="001745E5" w:rsidRPr="00D25C21" w:rsidRDefault="001745E5" w:rsidP="00602B58">
            <w:pPr>
              <w:jc w:val="both"/>
              <w:rPr>
                <w:rFonts w:ascii="Comic Sans MS" w:hAnsi="Comic Sans MS"/>
                <w:b/>
                <w:bCs/>
                <w:u w:val="single"/>
              </w:rPr>
            </w:pPr>
          </w:p>
          <w:p w:rsidR="001745E5" w:rsidRPr="007843EA" w:rsidRDefault="007843EA" w:rsidP="007843EA">
            <w:pPr>
              <w:pStyle w:val="Titre1"/>
              <w:numPr>
                <w:ilvl w:val="1"/>
                <w:numId w:val="18"/>
              </w:numPr>
              <w:jc w:val="left"/>
              <w:rPr>
                <w:rFonts w:ascii="Times New Roman" w:hAnsi="Times New Roman" w:cs="Times New Roman"/>
                <w:color w:val="auto"/>
                <w:sz w:val="24"/>
                <w:szCs w:val="24"/>
              </w:rPr>
            </w:pPr>
            <w:bookmarkStart w:id="12" w:name="_Toc70948790"/>
            <w:r>
              <w:rPr>
                <w:rFonts w:ascii="Times New Roman" w:hAnsi="Times New Roman" w:cs="Times New Roman"/>
                <w:color w:val="auto"/>
                <w:sz w:val="24"/>
                <w:szCs w:val="24"/>
              </w:rPr>
              <w:t>Ecran « Terre rare »</w:t>
            </w:r>
            <w:bookmarkEnd w:id="12"/>
            <w:r w:rsidR="001745E5" w:rsidRPr="007843EA">
              <w:rPr>
                <w:rFonts w:ascii="Times New Roman" w:hAnsi="Times New Roman" w:cs="Times New Roman"/>
                <w:color w:val="auto"/>
                <w:sz w:val="24"/>
                <w:szCs w:val="24"/>
              </w:rPr>
              <w:br/>
            </w:r>
            <w:r w:rsidR="001745E5" w:rsidRPr="007843EA">
              <w:rPr>
                <w:rFonts w:ascii="Times New Roman" w:hAnsi="Times New Roman" w:cs="Times New Roman"/>
                <w:color w:val="auto"/>
                <w:sz w:val="24"/>
                <w:szCs w:val="24"/>
              </w:rPr>
              <w:br/>
            </w:r>
          </w:p>
          <w:p w:rsidR="001745E5" w:rsidRPr="00ED1FDD" w:rsidRDefault="006F21A4" w:rsidP="00A22FDD">
            <w:pPr>
              <w:spacing w:before="60" w:after="60"/>
              <w:ind w:left="720"/>
              <w:jc w:val="both"/>
            </w:pPr>
            <w:r>
              <w:rPr>
                <w:rFonts w:ascii="Comic Sans MS" w:hAnsi="Comic Sans MS" w:cs="Arial"/>
                <w:noProof/>
                <w:color w:val="000000"/>
                <w:lang w:val="en-GB" w:eastAsia="en-GB"/>
              </w:rPr>
              <w:drawing>
                <wp:inline distT="0" distB="0" distL="0" distR="0">
                  <wp:extent cx="2944123" cy="3233121"/>
                  <wp:effectExtent l="19050" t="0" r="8627" b="0"/>
                  <wp:docPr id="34" name="Image 33" descr="Ecran Terre R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ran Terre Rare.jpg"/>
                          <pic:cNvPicPr/>
                        </pic:nvPicPr>
                        <pic:blipFill>
                          <a:blip r:embed="rId15" cstate="print"/>
                          <a:stretch>
                            <a:fillRect/>
                          </a:stretch>
                        </pic:blipFill>
                        <pic:spPr>
                          <a:xfrm>
                            <a:off x="0" y="0"/>
                            <a:ext cx="2944603" cy="3233648"/>
                          </a:xfrm>
                          <a:prstGeom prst="rect">
                            <a:avLst/>
                          </a:prstGeom>
                        </pic:spPr>
                      </pic:pic>
                    </a:graphicData>
                  </a:graphic>
                </wp:inline>
              </w:drawing>
            </w:r>
            <w:r w:rsidR="001745E5" w:rsidRPr="000E75E7">
              <w:rPr>
                <w:rFonts w:ascii="Comic Sans MS" w:hAnsi="Comic Sans MS" w:cs="Arial"/>
                <w:color w:val="000000"/>
              </w:rPr>
              <w:br/>
            </w:r>
            <w:r w:rsidR="001745E5" w:rsidRPr="000E75E7">
              <w:rPr>
                <w:rFonts w:ascii="Comic Sans MS" w:hAnsi="Comic Sans MS" w:cs="Arial"/>
                <w:color w:val="000000"/>
              </w:rPr>
              <w:br/>
            </w:r>
            <w:r w:rsidRPr="00ED1FDD">
              <w:t>Positionner l’écran sur la table de radiographie sous le tube RX</w:t>
            </w:r>
          </w:p>
          <w:p w:rsidR="006F21A4" w:rsidRPr="00ED1FDD" w:rsidRDefault="006F21A4" w:rsidP="00A22FDD">
            <w:pPr>
              <w:spacing w:before="60" w:after="60"/>
              <w:ind w:left="720"/>
              <w:jc w:val="both"/>
            </w:pPr>
            <w:r w:rsidRPr="00ED1FDD">
              <w:t>Placer les repères sur les limites du centrage lumineux à contrôler</w:t>
            </w:r>
          </w:p>
          <w:p w:rsidR="006F21A4" w:rsidRPr="00ED1FDD" w:rsidRDefault="006F21A4" w:rsidP="00A22FDD">
            <w:pPr>
              <w:spacing w:before="60" w:after="60"/>
              <w:ind w:left="720"/>
              <w:jc w:val="both"/>
            </w:pPr>
            <w:r w:rsidRPr="00ED1FDD">
              <w:t>Eteindre les lumières de la salle de radiographie</w:t>
            </w:r>
          </w:p>
          <w:p w:rsidR="006F21A4" w:rsidRPr="00ED1FDD" w:rsidRDefault="00EF2C0F" w:rsidP="00A22FDD">
            <w:pPr>
              <w:spacing w:before="60" w:after="60"/>
              <w:ind w:left="720"/>
              <w:jc w:val="both"/>
            </w:pPr>
            <w:r w:rsidRPr="00ED1FDD">
              <w:t>Réali</w:t>
            </w:r>
            <w:r w:rsidR="00AE0299">
              <w:t>ser une radiographie : Minimum 80KV, 100mA, 2</w:t>
            </w:r>
            <w:r w:rsidRPr="00ED1FDD">
              <w:t xml:space="preserve">00 </w:t>
            </w:r>
            <w:proofErr w:type="spellStart"/>
            <w:r w:rsidRPr="00ED1FDD">
              <w:t>mSecondes</w:t>
            </w:r>
            <w:proofErr w:type="spellEnd"/>
          </w:p>
          <w:p w:rsidR="00EF2C0F" w:rsidRPr="00ED1FDD" w:rsidRDefault="00EF2C0F" w:rsidP="00A22FDD">
            <w:pPr>
              <w:spacing w:before="60" w:after="60"/>
              <w:ind w:left="720"/>
              <w:jc w:val="both"/>
            </w:pPr>
            <w:r w:rsidRPr="00ED1FDD">
              <w:t>Si pas suffisamment</w:t>
            </w:r>
            <w:r w:rsidR="00AE0299">
              <w:t xml:space="preserve"> visible augmenter les KV (</w:t>
            </w:r>
            <w:r w:rsidRPr="00ED1FDD">
              <w:t>90 KV)</w:t>
            </w:r>
          </w:p>
          <w:p w:rsidR="00EF2C0F" w:rsidRPr="00ED1FDD" w:rsidRDefault="00EF2C0F" w:rsidP="00A22FDD">
            <w:pPr>
              <w:spacing w:before="60" w:after="60"/>
              <w:ind w:left="720"/>
              <w:jc w:val="both"/>
            </w:pPr>
          </w:p>
          <w:p w:rsidR="00EF2C0F" w:rsidRPr="00ED1FDD" w:rsidRDefault="00EF2C0F" w:rsidP="00A22FDD">
            <w:pPr>
              <w:spacing w:before="60" w:after="60"/>
              <w:ind w:left="720"/>
              <w:jc w:val="both"/>
            </w:pPr>
            <w:r w:rsidRPr="00ED1FDD">
              <w:t>Pour une scopie, placer un tablier plombé sous l’écran.</w:t>
            </w:r>
          </w:p>
          <w:p w:rsidR="00EF2C0F" w:rsidRPr="00ED1FDD" w:rsidRDefault="00EF2C0F" w:rsidP="00A22FDD">
            <w:pPr>
              <w:spacing w:before="60" w:after="60"/>
              <w:ind w:left="720"/>
              <w:jc w:val="both"/>
            </w:pPr>
          </w:p>
          <w:p w:rsidR="00EF2C0F" w:rsidRPr="00ED1FDD" w:rsidRDefault="00EF2C0F" w:rsidP="00A22FDD">
            <w:pPr>
              <w:spacing w:before="60" w:after="60"/>
              <w:ind w:left="720"/>
              <w:jc w:val="both"/>
            </w:pPr>
            <w:r w:rsidRPr="00ED1FDD">
              <w:t>Le RX fait apparaitre une lumière « verte »</w:t>
            </w:r>
          </w:p>
          <w:p w:rsidR="00EF2C0F" w:rsidRPr="00ED1FDD" w:rsidRDefault="00EF2C0F" w:rsidP="00A22FDD">
            <w:pPr>
              <w:spacing w:before="60" w:after="60"/>
              <w:ind w:left="720"/>
              <w:jc w:val="both"/>
            </w:pPr>
            <w:r w:rsidRPr="00ED1FDD">
              <w:t>La position du RX doit correspondre au centrage lumineux.</w:t>
            </w:r>
            <w:r w:rsidR="00811BFF">
              <w:t xml:space="preserve"> Vérifier l’emplacement des contours qui ne doivent pas dépasser.</w:t>
            </w:r>
          </w:p>
          <w:p w:rsidR="00EF2C0F" w:rsidRPr="00ED1FDD" w:rsidRDefault="00EF2C0F" w:rsidP="00A22FDD">
            <w:pPr>
              <w:spacing w:before="60" w:after="60"/>
              <w:ind w:left="720"/>
              <w:jc w:val="both"/>
            </w:pPr>
            <w:r w:rsidRPr="00ED1FDD">
              <w:t>En cas de décentrage, évaluer son amplitude</w:t>
            </w:r>
            <w:r w:rsidR="00ED1FDD" w:rsidRPr="00ED1FDD">
              <w:t xml:space="preserve"> à l’aide des graduations et informer le chef du SCP.</w:t>
            </w:r>
            <w:r w:rsidRPr="00ED1FDD">
              <w:t xml:space="preserve"> </w:t>
            </w:r>
          </w:p>
          <w:p w:rsidR="001745E5" w:rsidRPr="00CA682F" w:rsidRDefault="001745E5" w:rsidP="002F05DD">
            <w:pPr>
              <w:spacing w:before="60" w:after="60"/>
              <w:ind w:left="1080"/>
              <w:jc w:val="both"/>
              <w:rPr>
                <w:rFonts w:ascii="Comic Sans MS" w:hAnsi="Comic Sans MS" w:cs="Arial"/>
                <w:sz w:val="2"/>
                <w:szCs w:val="2"/>
              </w:rPr>
            </w:pPr>
          </w:p>
        </w:tc>
      </w:tr>
    </w:tbl>
    <w:p w:rsidR="002632B1" w:rsidRDefault="002632B1"/>
    <w:sectPr w:rsidR="002632B1" w:rsidSect="002632B1">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F1498"/>
    <w:multiLevelType w:val="hybridMultilevel"/>
    <w:tmpl w:val="6BBCAD94"/>
    <w:lvl w:ilvl="0" w:tplc="040C0001">
      <w:start w:val="1"/>
      <w:numFmt w:val="bullet"/>
      <w:lvlText w:val=""/>
      <w:lvlJc w:val="left"/>
      <w:pPr>
        <w:tabs>
          <w:tab w:val="num" w:pos="720"/>
        </w:tabs>
        <w:ind w:left="720" w:hanging="360"/>
      </w:pPr>
      <w:rPr>
        <w:rFonts w:ascii="Symbol" w:hAnsi="Symbol" w:hint="default"/>
      </w:rPr>
    </w:lvl>
    <w:lvl w:ilvl="1" w:tplc="040C000F">
      <w:start w:val="1"/>
      <w:numFmt w:val="decimal"/>
      <w:lvlText w:val="%2."/>
      <w:lvlJc w:val="left"/>
      <w:pPr>
        <w:tabs>
          <w:tab w:val="num" w:pos="2202"/>
        </w:tabs>
        <w:ind w:left="2202" w:hanging="360"/>
      </w:pPr>
      <w:rPr>
        <w:rFonts w:hint="default"/>
      </w:rPr>
    </w:lvl>
    <w:lvl w:ilvl="2" w:tplc="040C0001">
      <w:start w:val="1"/>
      <w:numFmt w:val="bullet"/>
      <w:lvlText w:val=""/>
      <w:lvlJc w:val="left"/>
      <w:pPr>
        <w:tabs>
          <w:tab w:val="num" w:pos="3336"/>
        </w:tabs>
        <w:ind w:left="3336" w:hanging="360"/>
      </w:pPr>
      <w:rPr>
        <w:rFonts w:ascii="Symbol" w:hAnsi="Symbol"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046E0D29"/>
    <w:multiLevelType w:val="hybridMultilevel"/>
    <w:tmpl w:val="98E29C58"/>
    <w:lvl w:ilvl="0" w:tplc="EB523A18">
      <w:start w:val="1"/>
      <w:numFmt w:val="decimal"/>
      <w:lvlText w:val="%1)"/>
      <w:lvlJc w:val="left"/>
      <w:pPr>
        <w:tabs>
          <w:tab w:val="num" w:pos="720"/>
        </w:tabs>
        <w:ind w:left="720" w:hanging="360"/>
      </w:pPr>
      <w:rPr>
        <w:rFonts w:hint="default"/>
      </w:rPr>
    </w:lvl>
    <w:lvl w:ilvl="1" w:tplc="C052A246">
      <w:start w:val="3"/>
      <w:numFmt w:val="bullet"/>
      <w:lvlText w:val=""/>
      <w:lvlJc w:val="left"/>
      <w:pPr>
        <w:tabs>
          <w:tab w:val="num" w:pos="1440"/>
        </w:tabs>
        <w:ind w:left="1440" w:hanging="360"/>
      </w:pPr>
      <w:rPr>
        <w:rFonts w:ascii="Symbol" w:eastAsia="Times New Roman" w:hAnsi="Symbol" w:cs="Arial" w:hint="default"/>
      </w:rPr>
    </w:lvl>
    <w:lvl w:ilvl="2" w:tplc="4BDA81FC">
      <w:start w:val="3"/>
      <w:numFmt w:val="bullet"/>
      <w:lvlText w:val="-"/>
      <w:lvlJc w:val="left"/>
      <w:pPr>
        <w:tabs>
          <w:tab w:val="num" w:pos="2340"/>
        </w:tabs>
        <w:ind w:left="2340" w:hanging="360"/>
      </w:pPr>
      <w:rPr>
        <w:rFonts w:ascii="Arial" w:eastAsia="Times New Roman" w:hAnsi="Arial" w:cs="Aria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83FE36C2">
      <w:start w:val="1"/>
      <w:numFmt w:val="upperLetter"/>
      <w:lvlText w:val="%7."/>
      <w:lvlJc w:val="left"/>
      <w:pPr>
        <w:tabs>
          <w:tab w:val="num" w:pos="900"/>
        </w:tabs>
        <w:ind w:left="900" w:hanging="360"/>
      </w:pPr>
      <w:rPr>
        <w:rFonts w:hint="default"/>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72A009C"/>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1422075B"/>
    <w:multiLevelType w:val="hybridMultilevel"/>
    <w:tmpl w:val="D7488F6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9AF09E5"/>
    <w:multiLevelType w:val="hybridMultilevel"/>
    <w:tmpl w:val="789A287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25D118B"/>
    <w:multiLevelType w:val="hybridMultilevel"/>
    <w:tmpl w:val="09BE37CC"/>
    <w:lvl w:ilvl="0" w:tplc="080C000B">
      <w:start w:val="1"/>
      <w:numFmt w:val="bullet"/>
      <w:lvlText w:val=""/>
      <w:lvlJc w:val="left"/>
      <w:pPr>
        <w:ind w:left="1352" w:hanging="360"/>
      </w:pPr>
      <w:rPr>
        <w:rFonts w:ascii="Wingdings" w:hAnsi="Wingdings" w:hint="default"/>
      </w:rPr>
    </w:lvl>
    <w:lvl w:ilvl="1" w:tplc="040C000F">
      <w:start w:val="1"/>
      <w:numFmt w:val="decimal"/>
      <w:lvlText w:val="%2."/>
      <w:lvlJc w:val="left"/>
      <w:pPr>
        <w:tabs>
          <w:tab w:val="num" w:pos="2072"/>
        </w:tabs>
        <w:ind w:left="2072" w:hanging="360"/>
      </w:pPr>
      <w:rPr>
        <w:rFonts w:hint="default"/>
      </w:rPr>
    </w:lvl>
    <w:lvl w:ilvl="2" w:tplc="080C0005" w:tentative="1">
      <w:start w:val="1"/>
      <w:numFmt w:val="bullet"/>
      <w:lvlText w:val=""/>
      <w:lvlJc w:val="left"/>
      <w:pPr>
        <w:ind w:left="2792" w:hanging="360"/>
      </w:pPr>
      <w:rPr>
        <w:rFonts w:ascii="Wingdings" w:hAnsi="Wingdings" w:hint="default"/>
      </w:rPr>
    </w:lvl>
    <w:lvl w:ilvl="3" w:tplc="080C0001" w:tentative="1">
      <w:start w:val="1"/>
      <w:numFmt w:val="bullet"/>
      <w:lvlText w:val=""/>
      <w:lvlJc w:val="left"/>
      <w:pPr>
        <w:ind w:left="3512" w:hanging="360"/>
      </w:pPr>
      <w:rPr>
        <w:rFonts w:ascii="Symbol" w:hAnsi="Symbol" w:hint="default"/>
      </w:rPr>
    </w:lvl>
    <w:lvl w:ilvl="4" w:tplc="080C0003" w:tentative="1">
      <w:start w:val="1"/>
      <w:numFmt w:val="bullet"/>
      <w:lvlText w:val="o"/>
      <w:lvlJc w:val="left"/>
      <w:pPr>
        <w:ind w:left="4232" w:hanging="360"/>
      </w:pPr>
      <w:rPr>
        <w:rFonts w:ascii="Courier New" w:hAnsi="Courier New" w:cs="Courier New" w:hint="default"/>
      </w:rPr>
    </w:lvl>
    <w:lvl w:ilvl="5" w:tplc="080C0005" w:tentative="1">
      <w:start w:val="1"/>
      <w:numFmt w:val="bullet"/>
      <w:lvlText w:val=""/>
      <w:lvlJc w:val="left"/>
      <w:pPr>
        <w:ind w:left="4952" w:hanging="360"/>
      </w:pPr>
      <w:rPr>
        <w:rFonts w:ascii="Wingdings" w:hAnsi="Wingdings" w:hint="default"/>
      </w:rPr>
    </w:lvl>
    <w:lvl w:ilvl="6" w:tplc="080C0001" w:tentative="1">
      <w:start w:val="1"/>
      <w:numFmt w:val="bullet"/>
      <w:lvlText w:val=""/>
      <w:lvlJc w:val="left"/>
      <w:pPr>
        <w:ind w:left="5672" w:hanging="360"/>
      </w:pPr>
      <w:rPr>
        <w:rFonts w:ascii="Symbol" w:hAnsi="Symbol" w:hint="default"/>
      </w:rPr>
    </w:lvl>
    <w:lvl w:ilvl="7" w:tplc="080C0003" w:tentative="1">
      <w:start w:val="1"/>
      <w:numFmt w:val="bullet"/>
      <w:lvlText w:val="o"/>
      <w:lvlJc w:val="left"/>
      <w:pPr>
        <w:ind w:left="6392" w:hanging="360"/>
      </w:pPr>
      <w:rPr>
        <w:rFonts w:ascii="Courier New" w:hAnsi="Courier New" w:cs="Courier New" w:hint="default"/>
      </w:rPr>
    </w:lvl>
    <w:lvl w:ilvl="8" w:tplc="080C0005" w:tentative="1">
      <w:start w:val="1"/>
      <w:numFmt w:val="bullet"/>
      <w:lvlText w:val=""/>
      <w:lvlJc w:val="left"/>
      <w:pPr>
        <w:ind w:left="7112" w:hanging="360"/>
      </w:pPr>
      <w:rPr>
        <w:rFonts w:ascii="Wingdings" w:hAnsi="Wingdings" w:hint="default"/>
      </w:rPr>
    </w:lvl>
  </w:abstractNum>
  <w:abstractNum w:abstractNumId="6">
    <w:nsid w:val="263210C6"/>
    <w:multiLevelType w:val="hybridMultilevel"/>
    <w:tmpl w:val="499E9C16"/>
    <w:lvl w:ilvl="0" w:tplc="DFCC24C6">
      <w:numFmt w:val="bullet"/>
      <w:lvlText w:val="-"/>
      <w:lvlJc w:val="left"/>
      <w:pPr>
        <w:ind w:left="720" w:hanging="360"/>
      </w:pPr>
      <w:rPr>
        <w:rFonts w:ascii="Comic Sans MS" w:eastAsia="Times New Roman" w:hAnsi="Comic Sans MS"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nsid w:val="2C27223C"/>
    <w:multiLevelType w:val="hybridMultilevel"/>
    <w:tmpl w:val="FDC2BD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F917D4F"/>
    <w:multiLevelType w:val="hybridMultilevel"/>
    <w:tmpl w:val="E3A6D854"/>
    <w:lvl w:ilvl="0" w:tplc="596CF15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352102FD"/>
    <w:multiLevelType w:val="hybridMultilevel"/>
    <w:tmpl w:val="8E60A43E"/>
    <w:lvl w:ilvl="0" w:tplc="57E8F7EC">
      <w:start w:val="1"/>
      <w:numFmt w:val="upperRoman"/>
      <w:lvlText w:val="%1."/>
      <w:lvlJc w:val="left"/>
      <w:pPr>
        <w:tabs>
          <w:tab w:val="num" w:pos="1080"/>
        </w:tabs>
        <w:ind w:left="1080" w:hanging="720"/>
      </w:pPr>
      <w:rPr>
        <w:rFonts w:hint="default"/>
        <w:b/>
      </w:rPr>
    </w:lvl>
    <w:lvl w:ilvl="1" w:tplc="BFD843B0">
      <w:start w:val="1"/>
      <w:numFmt w:val="bullet"/>
      <w:lvlText w:val=""/>
      <w:lvlJc w:val="left"/>
      <w:pPr>
        <w:tabs>
          <w:tab w:val="num" w:pos="1440"/>
        </w:tabs>
        <w:ind w:left="1440" w:hanging="360"/>
      </w:pPr>
      <w:rPr>
        <w:rFonts w:ascii="Symbol" w:eastAsia="Times New Roman" w:hAnsi="Symbol" w:cs="Arial" w:hint="default"/>
      </w:rPr>
    </w:lvl>
    <w:lvl w:ilvl="2" w:tplc="270A013C">
      <w:start w:val="1"/>
      <w:numFmt w:val="lowerLetter"/>
      <w:lvlText w:val="%3)"/>
      <w:lvlJc w:val="left"/>
      <w:pPr>
        <w:tabs>
          <w:tab w:val="num" w:pos="2340"/>
        </w:tabs>
        <w:ind w:left="2340" w:hanging="360"/>
      </w:pPr>
      <w:rPr>
        <w:rFonts w:hint="default"/>
      </w:rPr>
    </w:lvl>
    <w:lvl w:ilvl="3" w:tplc="F0D0DFB0">
      <w:start w:val="2"/>
      <w:numFmt w:val="bullet"/>
      <w:lvlText w:val="-"/>
      <w:lvlJc w:val="left"/>
      <w:pPr>
        <w:tabs>
          <w:tab w:val="num" w:pos="2880"/>
        </w:tabs>
        <w:ind w:left="2880" w:hanging="360"/>
      </w:pPr>
      <w:rPr>
        <w:rFonts w:ascii="Arial" w:eastAsia="Times New Roman" w:hAnsi="Arial" w:cs="Arial" w:hint="default"/>
      </w:rPr>
    </w:lvl>
    <w:lvl w:ilvl="4" w:tplc="7152BCE6">
      <w:start w:val="1"/>
      <w:numFmt w:val="upperLetter"/>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A3F3DC5"/>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3EFD323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4BE60D19"/>
    <w:multiLevelType w:val="multilevel"/>
    <w:tmpl w:val="0809001D"/>
    <w:lvl w:ilvl="0">
      <w:start w:val="1"/>
      <w:numFmt w:val="decimal"/>
      <w:lvlText w:val="%1)"/>
      <w:lvlJc w:val="left"/>
      <w:pPr>
        <w:ind w:left="725" w:hanging="360"/>
      </w:pPr>
    </w:lvl>
    <w:lvl w:ilvl="1">
      <w:start w:val="1"/>
      <w:numFmt w:val="lowerLetter"/>
      <w:lvlText w:val="%2)"/>
      <w:lvlJc w:val="left"/>
      <w:pPr>
        <w:ind w:left="1085" w:hanging="360"/>
      </w:pPr>
    </w:lvl>
    <w:lvl w:ilvl="2">
      <w:start w:val="1"/>
      <w:numFmt w:val="lowerRoman"/>
      <w:lvlText w:val="%3)"/>
      <w:lvlJc w:val="left"/>
      <w:pPr>
        <w:ind w:left="1445" w:hanging="360"/>
      </w:pPr>
    </w:lvl>
    <w:lvl w:ilvl="3">
      <w:start w:val="1"/>
      <w:numFmt w:val="decimal"/>
      <w:lvlText w:val="(%4)"/>
      <w:lvlJc w:val="left"/>
      <w:pPr>
        <w:ind w:left="1805" w:hanging="360"/>
      </w:pPr>
    </w:lvl>
    <w:lvl w:ilvl="4">
      <w:start w:val="1"/>
      <w:numFmt w:val="lowerLetter"/>
      <w:lvlText w:val="(%5)"/>
      <w:lvlJc w:val="left"/>
      <w:pPr>
        <w:ind w:left="2165" w:hanging="360"/>
      </w:pPr>
    </w:lvl>
    <w:lvl w:ilvl="5">
      <w:start w:val="1"/>
      <w:numFmt w:val="lowerRoman"/>
      <w:lvlText w:val="(%6)"/>
      <w:lvlJc w:val="left"/>
      <w:pPr>
        <w:ind w:left="2525" w:hanging="360"/>
      </w:pPr>
    </w:lvl>
    <w:lvl w:ilvl="6">
      <w:start w:val="1"/>
      <w:numFmt w:val="decimal"/>
      <w:lvlText w:val="%7."/>
      <w:lvlJc w:val="left"/>
      <w:pPr>
        <w:ind w:left="2885" w:hanging="360"/>
      </w:pPr>
    </w:lvl>
    <w:lvl w:ilvl="7">
      <w:start w:val="1"/>
      <w:numFmt w:val="lowerLetter"/>
      <w:lvlText w:val="%8."/>
      <w:lvlJc w:val="left"/>
      <w:pPr>
        <w:ind w:left="3245" w:hanging="360"/>
      </w:pPr>
    </w:lvl>
    <w:lvl w:ilvl="8">
      <w:start w:val="1"/>
      <w:numFmt w:val="lowerRoman"/>
      <w:lvlText w:val="%9."/>
      <w:lvlJc w:val="left"/>
      <w:pPr>
        <w:ind w:left="3605" w:hanging="360"/>
      </w:pPr>
    </w:lvl>
  </w:abstractNum>
  <w:abstractNum w:abstractNumId="13">
    <w:nsid w:val="5BDB3B97"/>
    <w:multiLevelType w:val="hybridMultilevel"/>
    <w:tmpl w:val="A5A09D20"/>
    <w:lvl w:ilvl="0" w:tplc="040C0001">
      <w:start w:val="1"/>
      <w:numFmt w:val="bullet"/>
      <w:lvlText w:val=""/>
      <w:lvlJc w:val="left"/>
      <w:pPr>
        <w:tabs>
          <w:tab w:val="num" w:pos="1494"/>
        </w:tabs>
        <w:ind w:left="1494" w:hanging="360"/>
      </w:pPr>
      <w:rPr>
        <w:rFonts w:ascii="Symbol" w:hAnsi="Symbol" w:hint="default"/>
      </w:rPr>
    </w:lvl>
    <w:lvl w:ilvl="1" w:tplc="040C0003" w:tentative="1">
      <w:start w:val="1"/>
      <w:numFmt w:val="bullet"/>
      <w:lvlText w:val="o"/>
      <w:lvlJc w:val="left"/>
      <w:pPr>
        <w:tabs>
          <w:tab w:val="num" w:pos="2214"/>
        </w:tabs>
        <w:ind w:left="2214" w:hanging="360"/>
      </w:pPr>
      <w:rPr>
        <w:rFonts w:ascii="Courier New" w:hAnsi="Courier New" w:cs="Courier New" w:hint="default"/>
      </w:rPr>
    </w:lvl>
    <w:lvl w:ilvl="2" w:tplc="040C0005" w:tentative="1">
      <w:start w:val="1"/>
      <w:numFmt w:val="bullet"/>
      <w:lvlText w:val=""/>
      <w:lvlJc w:val="left"/>
      <w:pPr>
        <w:tabs>
          <w:tab w:val="num" w:pos="2934"/>
        </w:tabs>
        <w:ind w:left="2934" w:hanging="360"/>
      </w:pPr>
      <w:rPr>
        <w:rFonts w:ascii="Wingdings" w:hAnsi="Wingdings" w:hint="default"/>
      </w:rPr>
    </w:lvl>
    <w:lvl w:ilvl="3" w:tplc="040C0001" w:tentative="1">
      <w:start w:val="1"/>
      <w:numFmt w:val="bullet"/>
      <w:lvlText w:val=""/>
      <w:lvlJc w:val="left"/>
      <w:pPr>
        <w:tabs>
          <w:tab w:val="num" w:pos="3654"/>
        </w:tabs>
        <w:ind w:left="3654" w:hanging="360"/>
      </w:pPr>
      <w:rPr>
        <w:rFonts w:ascii="Symbol" w:hAnsi="Symbol" w:hint="default"/>
      </w:rPr>
    </w:lvl>
    <w:lvl w:ilvl="4" w:tplc="040C0003" w:tentative="1">
      <w:start w:val="1"/>
      <w:numFmt w:val="bullet"/>
      <w:lvlText w:val="o"/>
      <w:lvlJc w:val="left"/>
      <w:pPr>
        <w:tabs>
          <w:tab w:val="num" w:pos="4374"/>
        </w:tabs>
        <w:ind w:left="4374" w:hanging="360"/>
      </w:pPr>
      <w:rPr>
        <w:rFonts w:ascii="Courier New" w:hAnsi="Courier New" w:cs="Courier New" w:hint="default"/>
      </w:rPr>
    </w:lvl>
    <w:lvl w:ilvl="5" w:tplc="040C0005" w:tentative="1">
      <w:start w:val="1"/>
      <w:numFmt w:val="bullet"/>
      <w:lvlText w:val=""/>
      <w:lvlJc w:val="left"/>
      <w:pPr>
        <w:tabs>
          <w:tab w:val="num" w:pos="5094"/>
        </w:tabs>
        <w:ind w:left="5094" w:hanging="360"/>
      </w:pPr>
      <w:rPr>
        <w:rFonts w:ascii="Wingdings" w:hAnsi="Wingdings" w:hint="default"/>
      </w:rPr>
    </w:lvl>
    <w:lvl w:ilvl="6" w:tplc="040C0001" w:tentative="1">
      <w:start w:val="1"/>
      <w:numFmt w:val="bullet"/>
      <w:lvlText w:val=""/>
      <w:lvlJc w:val="left"/>
      <w:pPr>
        <w:tabs>
          <w:tab w:val="num" w:pos="5814"/>
        </w:tabs>
        <w:ind w:left="5814" w:hanging="360"/>
      </w:pPr>
      <w:rPr>
        <w:rFonts w:ascii="Symbol" w:hAnsi="Symbol" w:hint="default"/>
      </w:rPr>
    </w:lvl>
    <w:lvl w:ilvl="7" w:tplc="040C0003" w:tentative="1">
      <w:start w:val="1"/>
      <w:numFmt w:val="bullet"/>
      <w:lvlText w:val="o"/>
      <w:lvlJc w:val="left"/>
      <w:pPr>
        <w:tabs>
          <w:tab w:val="num" w:pos="6534"/>
        </w:tabs>
        <w:ind w:left="6534" w:hanging="360"/>
      </w:pPr>
      <w:rPr>
        <w:rFonts w:ascii="Courier New" w:hAnsi="Courier New" w:cs="Courier New" w:hint="default"/>
      </w:rPr>
    </w:lvl>
    <w:lvl w:ilvl="8" w:tplc="040C0005" w:tentative="1">
      <w:start w:val="1"/>
      <w:numFmt w:val="bullet"/>
      <w:lvlText w:val=""/>
      <w:lvlJc w:val="left"/>
      <w:pPr>
        <w:tabs>
          <w:tab w:val="num" w:pos="7254"/>
        </w:tabs>
        <w:ind w:left="7254" w:hanging="360"/>
      </w:pPr>
      <w:rPr>
        <w:rFonts w:ascii="Wingdings" w:hAnsi="Wingdings" w:hint="default"/>
      </w:rPr>
    </w:lvl>
  </w:abstractNum>
  <w:abstractNum w:abstractNumId="14">
    <w:nsid w:val="5D850E2D"/>
    <w:multiLevelType w:val="hybridMultilevel"/>
    <w:tmpl w:val="F25899A0"/>
    <w:lvl w:ilvl="0" w:tplc="EB74608E">
      <w:start w:val="1"/>
      <w:numFmt w:val="bullet"/>
      <w:lvlText w:val=""/>
      <w:lvlJc w:val="right"/>
      <w:pPr>
        <w:ind w:left="1494" w:hanging="360"/>
      </w:pPr>
      <w:rPr>
        <w:rFonts w:ascii="Wingdings" w:hAnsi="Wingdings" w:hint="default"/>
      </w:rPr>
    </w:lvl>
    <w:lvl w:ilvl="1" w:tplc="080C0003" w:tentative="1">
      <w:start w:val="1"/>
      <w:numFmt w:val="bullet"/>
      <w:lvlText w:val="o"/>
      <w:lvlJc w:val="left"/>
      <w:pPr>
        <w:ind w:left="2214" w:hanging="360"/>
      </w:pPr>
      <w:rPr>
        <w:rFonts w:ascii="Courier New" w:hAnsi="Courier New" w:cs="Courier New" w:hint="default"/>
      </w:rPr>
    </w:lvl>
    <w:lvl w:ilvl="2" w:tplc="080C0005" w:tentative="1">
      <w:start w:val="1"/>
      <w:numFmt w:val="bullet"/>
      <w:lvlText w:val=""/>
      <w:lvlJc w:val="left"/>
      <w:pPr>
        <w:ind w:left="2934" w:hanging="360"/>
      </w:pPr>
      <w:rPr>
        <w:rFonts w:ascii="Wingdings" w:hAnsi="Wingdings" w:hint="default"/>
      </w:rPr>
    </w:lvl>
    <w:lvl w:ilvl="3" w:tplc="080C0001" w:tentative="1">
      <w:start w:val="1"/>
      <w:numFmt w:val="bullet"/>
      <w:lvlText w:val=""/>
      <w:lvlJc w:val="left"/>
      <w:pPr>
        <w:ind w:left="3654" w:hanging="360"/>
      </w:pPr>
      <w:rPr>
        <w:rFonts w:ascii="Symbol" w:hAnsi="Symbol" w:hint="default"/>
      </w:rPr>
    </w:lvl>
    <w:lvl w:ilvl="4" w:tplc="080C0003" w:tentative="1">
      <w:start w:val="1"/>
      <w:numFmt w:val="bullet"/>
      <w:lvlText w:val="o"/>
      <w:lvlJc w:val="left"/>
      <w:pPr>
        <w:ind w:left="4374" w:hanging="360"/>
      </w:pPr>
      <w:rPr>
        <w:rFonts w:ascii="Courier New" w:hAnsi="Courier New" w:cs="Courier New" w:hint="default"/>
      </w:rPr>
    </w:lvl>
    <w:lvl w:ilvl="5" w:tplc="080C0005" w:tentative="1">
      <w:start w:val="1"/>
      <w:numFmt w:val="bullet"/>
      <w:lvlText w:val=""/>
      <w:lvlJc w:val="left"/>
      <w:pPr>
        <w:ind w:left="5094" w:hanging="360"/>
      </w:pPr>
      <w:rPr>
        <w:rFonts w:ascii="Wingdings" w:hAnsi="Wingdings" w:hint="default"/>
      </w:rPr>
    </w:lvl>
    <w:lvl w:ilvl="6" w:tplc="080C0001" w:tentative="1">
      <w:start w:val="1"/>
      <w:numFmt w:val="bullet"/>
      <w:lvlText w:val=""/>
      <w:lvlJc w:val="left"/>
      <w:pPr>
        <w:ind w:left="5814" w:hanging="360"/>
      </w:pPr>
      <w:rPr>
        <w:rFonts w:ascii="Symbol" w:hAnsi="Symbol" w:hint="default"/>
      </w:rPr>
    </w:lvl>
    <w:lvl w:ilvl="7" w:tplc="080C0003" w:tentative="1">
      <w:start w:val="1"/>
      <w:numFmt w:val="bullet"/>
      <w:lvlText w:val="o"/>
      <w:lvlJc w:val="left"/>
      <w:pPr>
        <w:ind w:left="6534" w:hanging="360"/>
      </w:pPr>
      <w:rPr>
        <w:rFonts w:ascii="Courier New" w:hAnsi="Courier New" w:cs="Courier New" w:hint="default"/>
      </w:rPr>
    </w:lvl>
    <w:lvl w:ilvl="8" w:tplc="080C0005" w:tentative="1">
      <w:start w:val="1"/>
      <w:numFmt w:val="bullet"/>
      <w:lvlText w:val=""/>
      <w:lvlJc w:val="left"/>
      <w:pPr>
        <w:ind w:left="7254" w:hanging="360"/>
      </w:pPr>
      <w:rPr>
        <w:rFonts w:ascii="Wingdings" w:hAnsi="Wingdings" w:hint="default"/>
      </w:rPr>
    </w:lvl>
  </w:abstractNum>
  <w:abstractNum w:abstractNumId="15">
    <w:nsid w:val="5E9678ED"/>
    <w:multiLevelType w:val="hybridMultilevel"/>
    <w:tmpl w:val="12884546"/>
    <w:lvl w:ilvl="0" w:tplc="11DEB740">
      <w:numFmt w:val="bullet"/>
      <w:lvlText w:val=""/>
      <w:lvlJc w:val="left"/>
      <w:pPr>
        <w:tabs>
          <w:tab w:val="num" w:pos="2556"/>
        </w:tabs>
        <w:ind w:left="2556" w:hanging="360"/>
      </w:pPr>
      <w:rPr>
        <w:rFonts w:ascii="Symbol" w:hAnsi="Symbol" w:cs="Times New Roman" w:hint="default"/>
        <w:color w:val="auto"/>
        <w:u w:color="993366"/>
      </w:rPr>
    </w:lvl>
    <w:lvl w:ilvl="1" w:tplc="040C000F">
      <w:start w:val="1"/>
      <w:numFmt w:val="decimal"/>
      <w:lvlText w:val="%2."/>
      <w:lvlJc w:val="left"/>
      <w:pPr>
        <w:tabs>
          <w:tab w:val="num" w:pos="643"/>
        </w:tabs>
        <w:ind w:left="643" w:hanging="360"/>
      </w:pPr>
      <w:rPr>
        <w:rFonts w:hint="default"/>
        <w:color w:val="auto"/>
        <w:u w:color="993366"/>
      </w:rPr>
    </w:lvl>
    <w:lvl w:ilvl="2" w:tplc="2C342058">
      <w:start w:val="1"/>
      <w:numFmt w:val="bullet"/>
      <w:lvlText w:val=""/>
      <w:lvlJc w:val="left"/>
      <w:pPr>
        <w:tabs>
          <w:tab w:val="num" w:pos="2160"/>
        </w:tabs>
        <w:ind w:left="2160" w:hanging="360"/>
      </w:pPr>
      <w:rPr>
        <w:rFonts w:ascii="Wingdings" w:hAnsi="Wingdings" w:hint="default"/>
        <w:color w:val="auto"/>
        <w:u w:color="993366"/>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62762683"/>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716D30F2"/>
    <w:multiLevelType w:val="hybridMultilevel"/>
    <w:tmpl w:val="E1283A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3280BCD"/>
    <w:multiLevelType w:val="hybridMultilevel"/>
    <w:tmpl w:val="3090953A"/>
    <w:lvl w:ilvl="0" w:tplc="040C000F">
      <w:start w:val="1"/>
      <w:numFmt w:val="decimal"/>
      <w:lvlText w:val="%1."/>
      <w:lvlJc w:val="left"/>
      <w:pPr>
        <w:tabs>
          <w:tab w:val="num" w:pos="2715"/>
        </w:tabs>
        <w:ind w:left="2715" w:hanging="360"/>
      </w:pPr>
    </w:lvl>
    <w:lvl w:ilvl="1" w:tplc="040C0001">
      <w:start w:val="1"/>
      <w:numFmt w:val="bullet"/>
      <w:lvlText w:val=""/>
      <w:lvlJc w:val="left"/>
      <w:pPr>
        <w:tabs>
          <w:tab w:val="num" w:pos="3435"/>
        </w:tabs>
        <w:ind w:left="3435" w:hanging="360"/>
      </w:pPr>
      <w:rPr>
        <w:rFonts w:ascii="Symbol" w:hAnsi="Symbol" w:hint="default"/>
      </w:rPr>
    </w:lvl>
    <w:lvl w:ilvl="2" w:tplc="040C001B" w:tentative="1">
      <w:start w:val="1"/>
      <w:numFmt w:val="lowerRoman"/>
      <w:lvlText w:val="%3."/>
      <w:lvlJc w:val="right"/>
      <w:pPr>
        <w:tabs>
          <w:tab w:val="num" w:pos="4155"/>
        </w:tabs>
        <w:ind w:left="4155" w:hanging="180"/>
      </w:pPr>
    </w:lvl>
    <w:lvl w:ilvl="3" w:tplc="040C000F" w:tentative="1">
      <w:start w:val="1"/>
      <w:numFmt w:val="decimal"/>
      <w:lvlText w:val="%4."/>
      <w:lvlJc w:val="left"/>
      <w:pPr>
        <w:tabs>
          <w:tab w:val="num" w:pos="4875"/>
        </w:tabs>
        <w:ind w:left="4875" w:hanging="360"/>
      </w:pPr>
    </w:lvl>
    <w:lvl w:ilvl="4" w:tplc="040C0019" w:tentative="1">
      <w:start w:val="1"/>
      <w:numFmt w:val="lowerLetter"/>
      <w:lvlText w:val="%5."/>
      <w:lvlJc w:val="left"/>
      <w:pPr>
        <w:tabs>
          <w:tab w:val="num" w:pos="5595"/>
        </w:tabs>
        <w:ind w:left="5595" w:hanging="360"/>
      </w:pPr>
    </w:lvl>
    <w:lvl w:ilvl="5" w:tplc="040C001B" w:tentative="1">
      <w:start w:val="1"/>
      <w:numFmt w:val="lowerRoman"/>
      <w:lvlText w:val="%6."/>
      <w:lvlJc w:val="right"/>
      <w:pPr>
        <w:tabs>
          <w:tab w:val="num" w:pos="6315"/>
        </w:tabs>
        <w:ind w:left="6315" w:hanging="180"/>
      </w:pPr>
    </w:lvl>
    <w:lvl w:ilvl="6" w:tplc="040C000F" w:tentative="1">
      <w:start w:val="1"/>
      <w:numFmt w:val="decimal"/>
      <w:lvlText w:val="%7."/>
      <w:lvlJc w:val="left"/>
      <w:pPr>
        <w:tabs>
          <w:tab w:val="num" w:pos="7035"/>
        </w:tabs>
        <w:ind w:left="7035" w:hanging="360"/>
      </w:pPr>
    </w:lvl>
    <w:lvl w:ilvl="7" w:tplc="040C0019" w:tentative="1">
      <w:start w:val="1"/>
      <w:numFmt w:val="lowerLetter"/>
      <w:lvlText w:val="%8."/>
      <w:lvlJc w:val="left"/>
      <w:pPr>
        <w:tabs>
          <w:tab w:val="num" w:pos="7755"/>
        </w:tabs>
        <w:ind w:left="7755" w:hanging="360"/>
      </w:pPr>
    </w:lvl>
    <w:lvl w:ilvl="8" w:tplc="040C001B" w:tentative="1">
      <w:start w:val="1"/>
      <w:numFmt w:val="lowerRoman"/>
      <w:lvlText w:val="%9."/>
      <w:lvlJc w:val="right"/>
      <w:pPr>
        <w:tabs>
          <w:tab w:val="num" w:pos="8475"/>
        </w:tabs>
        <w:ind w:left="8475" w:hanging="180"/>
      </w:pPr>
    </w:lvl>
  </w:abstractNum>
  <w:abstractNum w:abstractNumId="19">
    <w:nsid w:val="774A120A"/>
    <w:multiLevelType w:val="hybridMultilevel"/>
    <w:tmpl w:val="571A08FC"/>
    <w:lvl w:ilvl="0" w:tplc="080C0001">
      <w:start w:val="1"/>
      <w:numFmt w:val="bullet"/>
      <w:lvlText w:val=""/>
      <w:lvlJc w:val="left"/>
      <w:pPr>
        <w:ind w:left="2160" w:hanging="360"/>
      </w:pPr>
      <w:rPr>
        <w:rFonts w:ascii="Symbol" w:hAnsi="Symbol" w:hint="default"/>
      </w:rPr>
    </w:lvl>
    <w:lvl w:ilvl="1" w:tplc="080C0003" w:tentative="1">
      <w:start w:val="1"/>
      <w:numFmt w:val="bullet"/>
      <w:lvlText w:val="o"/>
      <w:lvlJc w:val="left"/>
      <w:pPr>
        <w:ind w:left="2880" w:hanging="360"/>
      </w:pPr>
      <w:rPr>
        <w:rFonts w:ascii="Courier New" w:hAnsi="Courier New" w:cs="Courier New" w:hint="default"/>
      </w:rPr>
    </w:lvl>
    <w:lvl w:ilvl="2" w:tplc="080C0005" w:tentative="1">
      <w:start w:val="1"/>
      <w:numFmt w:val="bullet"/>
      <w:lvlText w:val=""/>
      <w:lvlJc w:val="left"/>
      <w:pPr>
        <w:ind w:left="3600" w:hanging="360"/>
      </w:pPr>
      <w:rPr>
        <w:rFonts w:ascii="Wingdings" w:hAnsi="Wingdings" w:hint="default"/>
      </w:rPr>
    </w:lvl>
    <w:lvl w:ilvl="3" w:tplc="080C0001" w:tentative="1">
      <w:start w:val="1"/>
      <w:numFmt w:val="bullet"/>
      <w:lvlText w:val=""/>
      <w:lvlJc w:val="left"/>
      <w:pPr>
        <w:ind w:left="4320" w:hanging="360"/>
      </w:pPr>
      <w:rPr>
        <w:rFonts w:ascii="Symbol" w:hAnsi="Symbol" w:hint="default"/>
      </w:rPr>
    </w:lvl>
    <w:lvl w:ilvl="4" w:tplc="080C0003" w:tentative="1">
      <w:start w:val="1"/>
      <w:numFmt w:val="bullet"/>
      <w:lvlText w:val="o"/>
      <w:lvlJc w:val="left"/>
      <w:pPr>
        <w:ind w:left="5040" w:hanging="360"/>
      </w:pPr>
      <w:rPr>
        <w:rFonts w:ascii="Courier New" w:hAnsi="Courier New" w:cs="Courier New" w:hint="default"/>
      </w:rPr>
    </w:lvl>
    <w:lvl w:ilvl="5" w:tplc="080C0005" w:tentative="1">
      <w:start w:val="1"/>
      <w:numFmt w:val="bullet"/>
      <w:lvlText w:val=""/>
      <w:lvlJc w:val="left"/>
      <w:pPr>
        <w:ind w:left="5760" w:hanging="360"/>
      </w:pPr>
      <w:rPr>
        <w:rFonts w:ascii="Wingdings" w:hAnsi="Wingdings" w:hint="default"/>
      </w:rPr>
    </w:lvl>
    <w:lvl w:ilvl="6" w:tplc="080C0001" w:tentative="1">
      <w:start w:val="1"/>
      <w:numFmt w:val="bullet"/>
      <w:lvlText w:val=""/>
      <w:lvlJc w:val="left"/>
      <w:pPr>
        <w:ind w:left="6480" w:hanging="360"/>
      </w:pPr>
      <w:rPr>
        <w:rFonts w:ascii="Symbol" w:hAnsi="Symbol" w:hint="default"/>
      </w:rPr>
    </w:lvl>
    <w:lvl w:ilvl="7" w:tplc="080C0003" w:tentative="1">
      <w:start w:val="1"/>
      <w:numFmt w:val="bullet"/>
      <w:lvlText w:val="o"/>
      <w:lvlJc w:val="left"/>
      <w:pPr>
        <w:ind w:left="7200" w:hanging="360"/>
      </w:pPr>
      <w:rPr>
        <w:rFonts w:ascii="Courier New" w:hAnsi="Courier New" w:cs="Courier New" w:hint="default"/>
      </w:rPr>
    </w:lvl>
    <w:lvl w:ilvl="8" w:tplc="080C0005" w:tentative="1">
      <w:start w:val="1"/>
      <w:numFmt w:val="bullet"/>
      <w:lvlText w:val=""/>
      <w:lvlJc w:val="left"/>
      <w:pPr>
        <w:ind w:left="7920" w:hanging="360"/>
      </w:pPr>
      <w:rPr>
        <w:rFonts w:ascii="Wingdings" w:hAnsi="Wingdings" w:hint="default"/>
      </w:rPr>
    </w:lvl>
  </w:abstractNum>
  <w:num w:numId="1">
    <w:abstractNumId w:val="9"/>
  </w:num>
  <w:num w:numId="2">
    <w:abstractNumId w:val="6"/>
  </w:num>
  <w:num w:numId="3">
    <w:abstractNumId w:val="1"/>
  </w:num>
  <w:num w:numId="4">
    <w:abstractNumId w:val="8"/>
  </w:num>
  <w:num w:numId="5">
    <w:abstractNumId w:val="14"/>
  </w:num>
  <w:num w:numId="6">
    <w:abstractNumId w:val="15"/>
  </w:num>
  <w:num w:numId="7">
    <w:abstractNumId w:val="0"/>
  </w:num>
  <w:num w:numId="8">
    <w:abstractNumId w:val="19"/>
  </w:num>
  <w:num w:numId="9">
    <w:abstractNumId w:val="5"/>
  </w:num>
  <w:num w:numId="10">
    <w:abstractNumId w:val="13"/>
  </w:num>
  <w:num w:numId="11">
    <w:abstractNumId w:val="18"/>
  </w:num>
  <w:num w:numId="12">
    <w:abstractNumId w:val="17"/>
  </w:num>
  <w:num w:numId="13">
    <w:abstractNumId w:val="7"/>
  </w:num>
  <w:num w:numId="14">
    <w:abstractNumId w:val="11"/>
  </w:num>
  <w:num w:numId="15">
    <w:abstractNumId w:val="10"/>
  </w:num>
  <w:num w:numId="16">
    <w:abstractNumId w:val="16"/>
  </w:num>
  <w:num w:numId="17">
    <w:abstractNumId w:val="4"/>
  </w:num>
  <w:num w:numId="18">
    <w:abstractNumId w:val="2"/>
  </w:num>
  <w:num w:numId="19">
    <w:abstractNumId w:val="3"/>
  </w:num>
  <w:num w:numId="20">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77"/>
  <w:proofState w:spelling="clean" w:grammar="clean"/>
  <w:defaultTabStop w:val="720"/>
  <w:characterSpacingControl w:val="doNotCompress"/>
  <w:compat/>
  <w:rsids>
    <w:rsidRoot w:val="001745E5"/>
    <w:rsid w:val="00042056"/>
    <w:rsid w:val="00065D2D"/>
    <w:rsid w:val="000A6B7E"/>
    <w:rsid w:val="001745E5"/>
    <w:rsid w:val="001D7199"/>
    <w:rsid w:val="002632B1"/>
    <w:rsid w:val="002674F7"/>
    <w:rsid w:val="002F05DD"/>
    <w:rsid w:val="00346436"/>
    <w:rsid w:val="00347D87"/>
    <w:rsid w:val="00353027"/>
    <w:rsid w:val="003738CC"/>
    <w:rsid w:val="003B1DED"/>
    <w:rsid w:val="004327C5"/>
    <w:rsid w:val="0047190B"/>
    <w:rsid w:val="004C2199"/>
    <w:rsid w:val="004C2A72"/>
    <w:rsid w:val="004D2E93"/>
    <w:rsid w:val="00594371"/>
    <w:rsid w:val="005E2ED4"/>
    <w:rsid w:val="00602B58"/>
    <w:rsid w:val="00617A84"/>
    <w:rsid w:val="00640930"/>
    <w:rsid w:val="00654EE8"/>
    <w:rsid w:val="006A5047"/>
    <w:rsid w:val="006A7A9D"/>
    <w:rsid w:val="006F21A4"/>
    <w:rsid w:val="00715C09"/>
    <w:rsid w:val="0071798C"/>
    <w:rsid w:val="00744109"/>
    <w:rsid w:val="007550F5"/>
    <w:rsid w:val="007843EA"/>
    <w:rsid w:val="007B76F9"/>
    <w:rsid w:val="00811BFF"/>
    <w:rsid w:val="00834328"/>
    <w:rsid w:val="008D66B3"/>
    <w:rsid w:val="00916E9B"/>
    <w:rsid w:val="009834C1"/>
    <w:rsid w:val="009F74D9"/>
    <w:rsid w:val="00A22FDD"/>
    <w:rsid w:val="00A67E40"/>
    <w:rsid w:val="00AA5167"/>
    <w:rsid w:val="00AD1AEA"/>
    <w:rsid w:val="00AE0299"/>
    <w:rsid w:val="00AF0995"/>
    <w:rsid w:val="00B227C4"/>
    <w:rsid w:val="00B715C7"/>
    <w:rsid w:val="00BD6F0A"/>
    <w:rsid w:val="00BE75C0"/>
    <w:rsid w:val="00C03FDA"/>
    <w:rsid w:val="00C96C66"/>
    <w:rsid w:val="00D25C21"/>
    <w:rsid w:val="00D4105A"/>
    <w:rsid w:val="00D42C7A"/>
    <w:rsid w:val="00DB21B7"/>
    <w:rsid w:val="00E329FB"/>
    <w:rsid w:val="00E43B4D"/>
    <w:rsid w:val="00E66328"/>
    <w:rsid w:val="00E707B5"/>
    <w:rsid w:val="00EB7B96"/>
    <w:rsid w:val="00ED1FDD"/>
    <w:rsid w:val="00EF2C0F"/>
    <w:rsid w:val="00F3424C"/>
    <w:rsid w:val="00F436A6"/>
    <w:rsid w:val="00F538A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45E5"/>
    <w:pPr>
      <w:spacing w:after="0" w:line="240" w:lineRule="auto"/>
    </w:pPr>
    <w:rPr>
      <w:rFonts w:ascii="Times New Roman" w:eastAsia="Times New Roman" w:hAnsi="Times New Roman" w:cs="Times New Roman"/>
      <w:sz w:val="24"/>
      <w:szCs w:val="24"/>
      <w:lang w:val="fr-BE" w:eastAsia="fr-BE"/>
    </w:rPr>
  </w:style>
  <w:style w:type="paragraph" w:styleId="Titre1">
    <w:name w:val="heading 1"/>
    <w:basedOn w:val="Normal"/>
    <w:next w:val="Normal"/>
    <w:link w:val="Titre1Car"/>
    <w:qFormat/>
    <w:rsid w:val="001745E5"/>
    <w:pPr>
      <w:keepNext/>
      <w:jc w:val="right"/>
      <w:outlineLvl w:val="0"/>
    </w:pPr>
    <w:rPr>
      <w:rFonts w:ascii="Comic Sans MS" w:hAnsi="Comic Sans MS" w:cs="Arial"/>
      <w:b/>
      <w:noProof/>
      <w:color w:val="333399"/>
      <w:sz w:val="28"/>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1745E5"/>
    <w:rPr>
      <w:rFonts w:ascii="Comic Sans MS" w:eastAsia="Times New Roman" w:hAnsi="Comic Sans MS" w:cs="Arial"/>
      <w:b/>
      <w:noProof/>
      <w:color w:val="333399"/>
      <w:sz w:val="28"/>
      <w:lang w:val="fr-BE" w:eastAsia="fr-BE"/>
    </w:rPr>
  </w:style>
  <w:style w:type="paragraph" w:styleId="Titre">
    <w:name w:val="Title"/>
    <w:basedOn w:val="Normal"/>
    <w:link w:val="TitreCar"/>
    <w:qFormat/>
    <w:rsid w:val="001745E5"/>
    <w:pPr>
      <w:jc w:val="center"/>
    </w:pPr>
    <w:rPr>
      <w:rFonts w:ascii="Comic Sans MS" w:hAnsi="Comic Sans MS" w:cs="Arial"/>
      <w:b/>
      <w:color w:val="333399"/>
      <w:szCs w:val="32"/>
    </w:rPr>
  </w:style>
  <w:style w:type="character" w:customStyle="1" w:styleId="TitreCar">
    <w:name w:val="Titre Car"/>
    <w:basedOn w:val="Policepardfaut"/>
    <w:link w:val="Titre"/>
    <w:rsid w:val="001745E5"/>
    <w:rPr>
      <w:rFonts w:ascii="Comic Sans MS" w:eastAsia="Times New Roman" w:hAnsi="Comic Sans MS" w:cs="Arial"/>
      <w:b/>
      <w:color w:val="333399"/>
      <w:sz w:val="24"/>
      <w:szCs w:val="32"/>
      <w:lang w:val="fr-BE" w:eastAsia="fr-BE"/>
    </w:rPr>
  </w:style>
  <w:style w:type="paragraph" w:styleId="En-tte">
    <w:name w:val="header"/>
    <w:basedOn w:val="Normal"/>
    <w:link w:val="En-tteCar"/>
    <w:rsid w:val="001745E5"/>
    <w:pPr>
      <w:tabs>
        <w:tab w:val="center" w:pos="4536"/>
        <w:tab w:val="right" w:pos="9072"/>
      </w:tabs>
    </w:pPr>
  </w:style>
  <w:style w:type="character" w:customStyle="1" w:styleId="En-tteCar">
    <w:name w:val="En-tête Car"/>
    <w:basedOn w:val="Policepardfaut"/>
    <w:link w:val="En-tte"/>
    <w:rsid w:val="001745E5"/>
    <w:rPr>
      <w:rFonts w:ascii="Times New Roman" w:eastAsia="Times New Roman" w:hAnsi="Times New Roman" w:cs="Times New Roman"/>
      <w:sz w:val="24"/>
      <w:szCs w:val="24"/>
      <w:lang w:val="fr-BE" w:eastAsia="fr-BE"/>
    </w:rPr>
  </w:style>
  <w:style w:type="paragraph" w:styleId="Textedebulles">
    <w:name w:val="Balloon Text"/>
    <w:basedOn w:val="Normal"/>
    <w:link w:val="TextedebullesCar"/>
    <w:semiHidden/>
    <w:unhideWhenUsed/>
    <w:rsid w:val="001745E5"/>
    <w:rPr>
      <w:rFonts w:ascii="Tahoma" w:hAnsi="Tahoma" w:cs="Tahoma"/>
      <w:sz w:val="16"/>
      <w:szCs w:val="16"/>
    </w:rPr>
  </w:style>
  <w:style w:type="character" w:customStyle="1" w:styleId="TextedebullesCar">
    <w:name w:val="Texte de bulles Car"/>
    <w:basedOn w:val="Policepardfaut"/>
    <w:link w:val="Textedebulles"/>
    <w:uiPriority w:val="99"/>
    <w:semiHidden/>
    <w:rsid w:val="001745E5"/>
    <w:rPr>
      <w:rFonts w:ascii="Tahoma" w:eastAsia="Times New Roman" w:hAnsi="Tahoma" w:cs="Tahoma"/>
      <w:sz w:val="16"/>
      <w:szCs w:val="16"/>
      <w:lang w:val="fr-BE" w:eastAsia="fr-BE"/>
    </w:rPr>
  </w:style>
  <w:style w:type="character" w:customStyle="1" w:styleId="En-tteCar1">
    <w:name w:val="En-tête Car1"/>
    <w:rsid w:val="001745E5"/>
    <w:rPr>
      <w:sz w:val="24"/>
      <w:szCs w:val="24"/>
      <w:lang w:val="fr-BE" w:eastAsia="fr-BE" w:bidi="ar-SA"/>
    </w:rPr>
  </w:style>
  <w:style w:type="character" w:styleId="lev">
    <w:name w:val="Strong"/>
    <w:basedOn w:val="Policepardfaut"/>
    <w:uiPriority w:val="22"/>
    <w:qFormat/>
    <w:rsid w:val="001745E5"/>
    <w:rPr>
      <w:b/>
      <w:bCs/>
    </w:rPr>
  </w:style>
  <w:style w:type="paragraph" w:customStyle="1" w:styleId="TableCell">
    <w:name w:val="TableCell"/>
    <w:basedOn w:val="Normal"/>
    <w:rsid w:val="006A7A9D"/>
    <w:pPr>
      <w:spacing w:before="60"/>
    </w:pPr>
    <w:rPr>
      <w:rFonts w:ascii="Arial" w:hAnsi="Arial" w:cs="Arial"/>
      <w:sz w:val="20"/>
      <w:szCs w:val="20"/>
      <w:lang w:val="en-GB"/>
    </w:rPr>
  </w:style>
  <w:style w:type="paragraph" w:customStyle="1" w:styleId="TableHeading">
    <w:name w:val="Table Heading"/>
    <w:basedOn w:val="TableCell"/>
    <w:rsid w:val="006A7A9D"/>
    <w:pPr>
      <w:spacing w:before="0"/>
    </w:pPr>
    <w:rPr>
      <w:b/>
      <w:bCs/>
      <w:lang w:val="en-US"/>
    </w:rPr>
  </w:style>
  <w:style w:type="paragraph" w:styleId="Paragraphedeliste">
    <w:name w:val="List Paragraph"/>
    <w:basedOn w:val="Normal"/>
    <w:uiPriority w:val="34"/>
    <w:qFormat/>
    <w:rsid w:val="008D66B3"/>
    <w:pPr>
      <w:ind w:left="720"/>
      <w:contextualSpacing/>
    </w:pPr>
  </w:style>
  <w:style w:type="paragraph" w:styleId="En-ttedetabledesmatires">
    <w:name w:val="TOC Heading"/>
    <w:basedOn w:val="Titre1"/>
    <w:next w:val="Normal"/>
    <w:uiPriority w:val="39"/>
    <w:semiHidden/>
    <w:unhideWhenUsed/>
    <w:qFormat/>
    <w:rsid w:val="008D66B3"/>
    <w:pPr>
      <w:keepLines/>
      <w:spacing w:before="480" w:line="276" w:lineRule="auto"/>
      <w:jc w:val="left"/>
      <w:outlineLvl w:val="9"/>
    </w:pPr>
    <w:rPr>
      <w:rFonts w:asciiTheme="majorHAnsi" w:eastAsiaTheme="majorEastAsia" w:hAnsiTheme="majorHAnsi" w:cstheme="majorBidi"/>
      <w:bCs/>
      <w:noProof w:val="0"/>
      <w:color w:val="365F91" w:themeColor="accent1" w:themeShade="BF"/>
      <w:szCs w:val="28"/>
      <w:lang w:val="fr-FR" w:eastAsia="en-US"/>
    </w:rPr>
  </w:style>
  <w:style w:type="paragraph" w:styleId="TM1">
    <w:name w:val="toc 1"/>
    <w:basedOn w:val="Normal"/>
    <w:next w:val="Normal"/>
    <w:autoRedefine/>
    <w:uiPriority w:val="39"/>
    <w:unhideWhenUsed/>
    <w:rsid w:val="008D66B3"/>
    <w:pPr>
      <w:spacing w:after="100"/>
    </w:pPr>
  </w:style>
  <w:style w:type="character" w:styleId="Lienhypertexte">
    <w:name w:val="Hyperlink"/>
    <w:basedOn w:val="Policepardfaut"/>
    <w:uiPriority w:val="99"/>
    <w:unhideWhenUsed/>
    <w:rsid w:val="008D66B3"/>
    <w:rPr>
      <w:color w:val="0000FF" w:themeColor="hyperlink"/>
      <w:u w:val="single"/>
    </w:rPr>
  </w:style>
  <w:style w:type="table" w:styleId="Grilledutableau">
    <w:name w:val="Table Grid"/>
    <w:basedOn w:val="TableauNormal"/>
    <w:uiPriority w:val="59"/>
    <w:rsid w:val="00347D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4C2A72"/>
    <w:pPr>
      <w:spacing w:before="100" w:beforeAutospacing="1" w:after="100" w:afterAutospacing="1"/>
    </w:pPr>
    <w:rPr>
      <w:lang w:val="en-GB" w:eastAsia="en-GB"/>
    </w:rPr>
  </w:style>
</w:styles>
</file>

<file path=word/webSettings.xml><?xml version="1.0" encoding="utf-8"?>
<w:webSettings xmlns:r="http://schemas.openxmlformats.org/officeDocument/2006/relationships" xmlns:w="http://schemas.openxmlformats.org/wordprocessingml/2006/main">
  <w:divs>
    <w:div w:id="1614163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41CF73-079B-4A9A-A2DD-7F88772ED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1551</TotalTime>
  <Pages>12</Pages>
  <Words>2007</Words>
  <Characters>11446</Characters>
  <Application>Microsoft Office Word</Application>
  <DocSecurity>0</DocSecurity>
  <Lines>95</Lines>
  <Paragraphs>26</Paragraphs>
  <ScaleCrop>false</ScaleCrop>
  <HeadingPairs>
    <vt:vector size="2" baseType="variant">
      <vt:variant>
        <vt:lpstr>Titre</vt:lpstr>
      </vt:variant>
      <vt:variant>
        <vt:i4>1</vt:i4>
      </vt:variant>
    </vt:vector>
  </HeadingPairs>
  <TitlesOfParts>
    <vt:vector size="1" baseType="lpstr">
      <vt:lpstr/>
    </vt:vector>
  </TitlesOfParts>
  <Company>CHBAH</Company>
  <LinksUpToDate>false</LinksUpToDate>
  <CharactersWithSpaces>13427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peerboom</dc:creator>
  <cp:lastModifiedBy>peerboom</cp:lastModifiedBy>
  <cp:revision>14</cp:revision>
  <dcterms:created xsi:type="dcterms:W3CDTF">2021-04-27T11:58:00Z</dcterms:created>
  <dcterms:modified xsi:type="dcterms:W3CDTF">2021-05-12T09:16:00Z</dcterms:modified>
</cp:coreProperties>
</file>