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4D2A33">
        <w:rPr>
          <w:sz w:val="20"/>
          <w:szCs w:val="20"/>
        </w:rPr>
        <w:t>20</w:t>
      </w:r>
    </w:p>
    <w:p w:rsidR="00D301A1" w:rsidRDefault="004E3064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D679AA" w:rsidRPr="006A3E6F" w:rsidRDefault="00D679AA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Diététicien(ne)</w:t>
                  </w:r>
                </w:p>
                <w:p w:rsidR="00D679AA" w:rsidRPr="006A3E6F" w:rsidRDefault="00D679AA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604"/>
        <w:gridCol w:w="563"/>
        <w:gridCol w:w="538"/>
        <w:gridCol w:w="1500"/>
        <w:gridCol w:w="697"/>
        <w:gridCol w:w="629"/>
        <w:gridCol w:w="3298"/>
      </w:tblGrid>
      <w:tr w:rsidR="00474AC2" w:rsidTr="00DE585F">
        <w:tc>
          <w:tcPr>
            <w:tcW w:w="0" w:type="auto"/>
            <w:gridSpan w:val="8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DE585F">
        <w:tc>
          <w:tcPr>
            <w:tcW w:w="0" w:type="auto"/>
            <w:gridSpan w:val="8"/>
          </w:tcPr>
          <w:p w:rsidR="00D301A1" w:rsidRDefault="00D679AA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Suivi diététique des repas</w:t>
            </w:r>
          </w:p>
          <w:p w:rsidR="00845701" w:rsidRDefault="00D679AA" w:rsidP="00845701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Diverses tâches administratives relatives aux cuisines</w:t>
            </w:r>
          </w:p>
          <w:p w:rsidR="00D679AA" w:rsidRPr="008E64D5" w:rsidRDefault="00D679AA" w:rsidP="00845701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Solutions alimentaires adaptées</w:t>
            </w:r>
          </w:p>
        </w:tc>
      </w:tr>
      <w:tr w:rsidR="0083731F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926BDD" w:rsidTr="00595C51">
        <w:tc>
          <w:tcPr>
            <w:tcW w:w="0" w:type="auto"/>
            <w:gridSpan w:val="8"/>
            <w:shd w:val="clear" w:color="auto" w:fill="FFFFFF" w:themeFill="background1"/>
          </w:tcPr>
          <w:p w:rsidR="00926BDD" w:rsidRDefault="00BB6E59" w:rsidP="00926BDD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Ordinateurs</w:t>
            </w:r>
          </w:p>
          <w:p w:rsidR="00BB6E59" w:rsidRPr="00926BDD" w:rsidRDefault="00BB6E59" w:rsidP="00926BDD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Téléphones</w:t>
            </w:r>
          </w:p>
        </w:tc>
      </w:tr>
      <w:tr w:rsidR="0083731F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A375CE" w:rsidTr="00820623">
        <w:tc>
          <w:tcPr>
            <w:tcW w:w="0" w:type="auto"/>
            <w:gridSpan w:val="8"/>
            <w:shd w:val="clear" w:color="auto" w:fill="FFFFFF" w:themeFill="background1"/>
          </w:tcPr>
          <w:p w:rsidR="00A375CE" w:rsidRPr="00A375CE" w:rsidRDefault="00A375CE" w:rsidP="00A375CE">
            <w:pPr>
              <w:pStyle w:val="Sansinterligne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375CE">
              <w:rPr>
                <w:szCs w:val="20"/>
              </w:rPr>
              <w:t>Néant</w:t>
            </w:r>
          </w:p>
        </w:tc>
      </w:tr>
      <w:tr w:rsidR="0083731F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DE585F">
        <w:tc>
          <w:tcPr>
            <w:tcW w:w="0" w:type="auto"/>
            <w:gridSpan w:val="5"/>
            <w:shd w:val="clear" w:color="auto" w:fill="FFFFFF" w:themeFill="background1"/>
          </w:tcPr>
          <w:p w:rsidR="003A7295" w:rsidRPr="0083731F" w:rsidRDefault="00A01EEA" w:rsidP="00EC7A88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3A7295" w:rsidRPr="0083731F" w:rsidRDefault="00A01EEA" w:rsidP="00EC7A8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DE585F">
        <w:tc>
          <w:tcPr>
            <w:tcW w:w="0" w:type="auto"/>
            <w:gridSpan w:val="8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DE585F">
        <w:tc>
          <w:tcPr>
            <w:tcW w:w="0" w:type="auto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EC7A88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EC7A88" w:rsidRDefault="00EC7A88" w:rsidP="000E1E8D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EC7A88" w:rsidTr="00EC7A88">
        <w:tc>
          <w:tcPr>
            <w:tcW w:w="0" w:type="auto"/>
            <w:gridSpan w:val="8"/>
            <w:shd w:val="clear" w:color="auto" w:fill="FFFFFF" w:themeFill="background1"/>
          </w:tcPr>
          <w:p w:rsidR="00EC7A88" w:rsidRDefault="00EC7A88" w:rsidP="000E1E8D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EC7A88" w:rsidRDefault="00EC7A88" w:rsidP="000E1E8D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EC7A88" w:rsidRPr="003B139A" w:rsidRDefault="00EC7A88" w:rsidP="000E1E8D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DE585F">
        <w:tc>
          <w:tcPr>
            <w:tcW w:w="0" w:type="auto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DE585F">
        <w:tc>
          <w:tcPr>
            <w:tcW w:w="0" w:type="auto"/>
            <w:gridSpan w:val="5"/>
            <w:shd w:val="clear" w:color="auto" w:fill="FFFFFF" w:themeFill="background1"/>
          </w:tcPr>
          <w:p w:rsidR="00B861BE" w:rsidRDefault="0098647A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B861BE" w:rsidRDefault="0098647A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98647A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98647A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D061B">
              <w:rPr>
                <w:szCs w:val="20"/>
              </w:rPr>
              <w:t xml:space="preserve">   Hépatite </w:t>
            </w:r>
            <w:r>
              <w:rPr>
                <w:szCs w:val="20"/>
              </w:rPr>
              <w:t>A</w:t>
            </w:r>
          </w:p>
        </w:tc>
      </w:tr>
      <w:tr w:rsidR="00474AC2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DE585F">
        <w:tc>
          <w:tcPr>
            <w:tcW w:w="0" w:type="auto"/>
            <w:gridSpan w:val="8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7F54E5" w:rsidTr="007F54E5">
        <w:trPr>
          <w:trHeight w:val="340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FFFFFF" w:themeFill="background1"/>
          </w:tcPr>
          <w:p w:rsidR="007F54E5" w:rsidRDefault="007F54E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7F54E5" w:rsidRDefault="007F54E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7F54E5" w:rsidRDefault="00BB6E59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7F54E5">
              <w:rPr>
                <w:szCs w:val="20"/>
              </w:rPr>
              <w:t xml:space="preserve">  </w:t>
            </w:r>
            <w:r w:rsidR="00531C10">
              <w:rPr>
                <w:szCs w:val="20"/>
              </w:rPr>
              <w:t xml:space="preserve"> </w:t>
            </w:r>
            <w:r w:rsidR="007F54E5">
              <w:rPr>
                <w:szCs w:val="20"/>
              </w:rPr>
              <w:t>Dosage AC</w:t>
            </w:r>
          </w:p>
          <w:p w:rsidR="007F54E5" w:rsidRDefault="007F54E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0" w:type="auto"/>
            <w:gridSpan w:val="3"/>
            <w:tcBorders>
              <w:left w:val="nil"/>
            </w:tcBorders>
            <w:shd w:val="clear" w:color="auto" w:fill="FFFFFF" w:themeFill="background1"/>
          </w:tcPr>
          <w:p w:rsidR="007F54E5" w:rsidRDefault="007F54E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7F54E5" w:rsidRDefault="007F54E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7F54E5" w:rsidRDefault="00BB6E59" w:rsidP="007F54E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7F54E5" w:rsidRDefault="007F54E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7F54E5" w:rsidRDefault="007F54E5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7F54E5" w:rsidRDefault="007F54E5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DE585F">
        <w:tc>
          <w:tcPr>
            <w:tcW w:w="0" w:type="auto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DE585F">
        <w:tc>
          <w:tcPr>
            <w:tcW w:w="0" w:type="auto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DE585F"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A375CE" w:rsidRDefault="008A7BD0" w:rsidP="007F54E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125022" w:rsidRDefault="00125022" w:rsidP="007F54E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A375CE" w:rsidRDefault="008A7BD0" w:rsidP="007F54E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125022" w:rsidRDefault="00125022" w:rsidP="007F54E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</w:tc>
      </w:tr>
      <w:tr w:rsidR="008A7BD0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DE585F">
        <w:tc>
          <w:tcPr>
            <w:tcW w:w="0" w:type="auto"/>
            <w:gridSpan w:val="8"/>
            <w:shd w:val="clear" w:color="auto" w:fill="FFFFFF" w:themeFill="background1"/>
          </w:tcPr>
          <w:p w:rsidR="00A01EEA" w:rsidRDefault="0098647A" w:rsidP="0098647A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  <w:p w:rsidR="0098647A" w:rsidRDefault="0098647A" w:rsidP="0098647A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Contact avec des denrées alimentaires</w:t>
            </w:r>
          </w:p>
        </w:tc>
      </w:tr>
      <w:tr w:rsidR="00B931A0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DE585F">
        <w:tc>
          <w:tcPr>
            <w:tcW w:w="0" w:type="auto"/>
            <w:gridSpan w:val="8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DE585F">
        <w:tc>
          <w:tcPr>
            <w:tcW w:w="0" w:type="auto"/>
            <w:gridSpan w:val="8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DE585F"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A83B9C" w:rsidTr="00DE585F">
        <w:tc>
          <w:tcPr>
            <w:tcW w:w="0" w:type="auto"/>
            <w:shd w:val="clear" w:color="auto" w:fill="FFFFFF" w:themeFill="background1"/>
            <w:vAlign w:val="center"/>
          </w:tcPr>
          <w:p w:rsidR="00A83B9C" w:rsidRPr="00AB791B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A83B9C" w:rsidTr="00DE585F">
        <w:tc>
          <w:tcPr>
            <w:tcW w:w="0" w:type="auto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 glissant – Rater une marche – </w:t>
            </w:r>
            <w:r>
              <w:rPr>
                <w:rFonts w:cs="Arial"/>
                <w:szCs w:val="20"/>
              </w:rPr>
              <w:lastRenderedPageBreak/>
              <w:t>encombrement -…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Chute dans les escaliers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83B9C" w:rsidRPr="00AB791B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Risque important - Mesures </w:t>
            </w:r>
            <w:r w:rsidRPr="00AB791B">
              <w:rPr>
                <w:rFonts w:cs="Arial"/>
                <w:szCs w:val="20"/>
              </w:rPr>
              <w:lastRenderedPageBreak/>
              <w:t>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Pr="00AB791B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A83B9C" w:rsidTr="00A83B9C">
        <w:tc>
          <w:tcPr>
            <w:tcW w:w="0" w:type="auto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Présence de verglas, sol glissant (extérieur)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83B9C" w:rsidRPr="00AB791B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Pr="00AB791B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A83B9C" w:rsidTr="00103B27">
        <w:tc>
          <w:tcPr>
            <w:tcW w:w="0" w:type="auto"/>
            <w:shd w:val="clear" w:color="auto" w:fill="FFFFFF" w:themeFill="background1"/>
            <w:vAlign w:val="center"/>
          </w:tcPr>
          <w:p w:rsidR="00A83B9C" w:rsidRPr="00434CD3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Pr="00434CD3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83B9C" w:rsidRPr="00434CD3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Pr="00434CD3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83B9C" w:rsidRPr="00434CD3" w:rsidRDefault="00A83B9C" w:rsidP="00A83B9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A83B9C" w:rsidTr="00DE585F">
        <w:tc>
          <w:tcPr>
            <w:tcW w:w="0" w:type="auto"/>
            <w:gridSpan w:val="8"/>
            <w:shd w:val="clear" w:color="auto" w:fill="D9D9D9" w:themeFill="background1" w:themeFillShade="D9"/>
            <w:vAlign w:val="center"/>
          </w:tcPr>
          <w:p w:rsidR="00A83B9C" w:rsidRPr="00691A80" w:rsidRDefault="00A83B9C" w:rsidP="00A83B9C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A83B9C" w:rsidTr="00DE585F">
        <w:tc>
          <w:tcPr>
            <w:tcW w:w="0" w:type="auto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A83B9C" w:rsidRDefault="00A83B9C" w:rsidP="00A83B9C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faire réparer par personnel compét</w:t>
            </w:r>
            <w:r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A83B9C" w:rsidTr="003C3863">
        <w:tc>
          <w:tcPr>
            <w:tcW w:w="0" w:type="auto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public/patient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>
              <w:rPr>
                <w:rFonts w:cs="Arial"/>
                <w:szCs w:val="20"/>
              </w:rPr>
              <w:t>Tuberculose</w:t>
            </w:r>
            <w:r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A83B9C" w:rsidRDefault="00A83B9C" w:rsidP="00A83B9C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</w:p>
        </w:tc>
      </w:tr>
      <w:tr w:rsidR="00A83B9C" w:rsidTr="00DE585F">
        <w:tc>
          <w:tcPr>
            <w:tcW w:w="0" w:type="auto"/>
            <w:shd w:val="clear" w:color="auto" w:fill="FFFFFF" w:themeFill="background1"/>
            <w:vAlign w:val="center"/>
          </w:tcPr>
          <w:p w:rsidR="00A83B9C" w:rsidRPr="00091C94" w:rsidRDefault="00A83B9C" w:rsidP="00A83B9C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Pr="00091C94" w:rsidRDefault="00A83B9C" w:rsidP="00A83B9C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83B9C" w:rsidRPr="00091C94" w:rsidRDefault="00A83B9C" w:rsidP="00A83B9C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Pr="00091C94" w:rsidRDefault="00A83B9C" w:rsidP="00A83B9C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A83B9C" w:rsidRPr="00091C94" w:rsidRDefault="00A83B9C" w:rsidP="00A83B9C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83B9C" w:rsidTr="0098647A">
        <w:tc>
          <w:tcPr>
            <w:tcW w:w="0" w:type="auto"/>
            <w:shd w:val="clear" w:color="auto" w:fill="FFFFFF" w:themeFill="background1"/>
            <w:vAlign w:val="center"/>
          </w:tcPr>
          <w:p w:rsidR="00A83B9C" w:rsidRPr="00AB791B" w:rsidRDefault="00A83B9C" w:rsidP="00A83B9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Travail sur écran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Default="00A83B9C" w:rsidP="00A83B9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A83B9C" w:rsidRDefault="00A83B9C" w:rsidP="00A83B9C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Analyse du poste par SEPPT tous les 5 ans + Respect des consignes ergonomiques d'un poste écran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A83B9C" w:rsidTr="00C014EA">
        <w:tc>
          <w:tcPr>
            <w:tcW w:w="0" w:type="auto"/>
            <w:shd w:val="clear" w:color="auto" w:fill="FFFFFF" w:themeFill="background1"/>
            <w:vAlign w:val="center"/>
          </w:tcPr>
          <w:p w:rsidR="00A83B9C" w:rsidRPr="00EF6DFC" w:rsidRDefault="00A83B9C" w:rsidP="00A83B9C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 xml:space="preserve">Contact Denrées Alimentaires 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83B9C" w:rsidRPr="00EF6DFC" w:rsidRDefault="00A83B9C" w:rsidP="00A83B9C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de contaminer les denrées alimentaires en cas de maladie contagieuse - Hygiène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83B9C" w:rsidRPr="00EF6DFC" w:rsidRDefault="00A83B9C" w:rsidP="00A83B9C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83B9C" w:rsidRPr="00EF6DFC" w:rsidRDefault="00A83B9C" w:rsidP="00A83B9C">
            <w:pPr>
              <w:jc w:val="center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83B9C" w:rsidRPr="00EF6DFC" w:rsidRDefault="00A83B9C" w:rsidP="00A83B9C">
            <w:pPr>
              <w:jc w:val="both"/>
              <w:rPr>
                <w:rFonts w:cs="Arial"/>
                <w:sz w:val="20"/>
                <w:szCs w:val="20"/>
              </w:rPr>
            </w:pPr>
            <w:r w:rsidRPr="00EF6DFC">
              <w:rPr>
                <w:rFonts w:cs="Arial"/>
                <w:sz w:val="20"/>
                <w:szCs w:val="20"/>
              </w:rPr>
              <w:t>Se laver les mains, ne pas entrer en contact avec les denrées si on est contagieux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686A" w:rsidTr="00085509">
        <w:trPr>
          <w:trHeight w:val="996"/>
        </w:trPr>
        <w:tc>
          <w:tcPr>
            <w:tcW w:w="0" w:type="auto"/>
            <w:shd w:val="clear" w:color="auto" w:fill="FFFFFF" w:themeFill="background1"/>
            <w:vAlign w:val="center"/>
          </w:tcPr>
          <w:p w:rsidR="0071686A" w:rsidRDefault="0071686A" w:rsidP="007168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71686A" w:rsidRDefault="0071686A" w:rsidP="007168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71686A" w:rsidRPr="00663A19" w:rsidRDefault="0071686A" w:rsidP="0071686A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1686A" w:rsidRPr="00663A19" w:rsidRDefault="0071686A" w:rsidP="0071686A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686A" w:rsidRDefault="0071686A" w:rsidP="0071686A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85509" w:rsidTr="00085509">
        <w:tc>
          <w:tcPr>
            <w:tcW w:w="0" w:type="auto"/>
            <w:shd w:val="clear" w:color="auto" w:fill="FFFFFF" w:themeFill="background1"/>
            <w:vAlign w:val="center"/>
          </w:tcPr>
          <w:p w:rsidR="00085509" w:rsidRPr="00D16C80" w:rsidRDefault="00085509" w:rsidP="00085509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085509" w:rsidRPr="00D16C80" w:rsidRDefault="00085509" w:rsidP="0008550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085509" w:rsidRPr="00D16C80" w:rsidRDefault="00085509" w:rsidP="0008550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FFC000"/>
            <w:vAlign w:val="center"/>
          </w:tcPr>
          <w:p w:rsidR="00085509" w:rsidRPr="00D16C80" w:rsidRDefault="00085509" w:rsidP="0008550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sible - Attention requise</w:t>
            </w:r>
          </w:p>
        </w:tc>
        <w:tc>
          <w:tcPr>
            <w:tcW w:w="0" w:type="auto"/>
            <w:shd w:val="clear" w:color="auto" w:fill="FFFFFF" w:themeFill="background1"/>
          </w:tcPr>
          <w:p w:rsidR="00085509" w:rsidRDefault="00085509" w:rsidP="00085509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lastRenderedPageBreak/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AA" w:rsidRDefault="00D679AA" w:rsidP="00126B77">
      <w:pPr>
        <w:spacing w:after="0" w:line="240" w:lineRule="auto"/>
      </w:pPr>
      <w:r>
        <w:separator/>
      </w:r>
    </w:p>
  </w:endnote>
  <w:endnote w:type="continuationSeparator" w:id="0">
    <w:p w:rsidR="00D679AA" w:rsidRDefault="00D679AA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D679AA">
      <w:tc>
        <w:tcPr>
          <w:tcW w:w="9865" w:type="dxa"/>
          <w:vAlign w:val="bottom"/>
        </w:tcPr>
        <w:p w:rsidR="00D679AA" w:rsidRPr="009916C8" w:rsidRDefault="00D679AA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D679AA" w:rsidRDefault="00D679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D679AA">
      <w:tc>
        <w:tcPr>
          <w:tcW w:w="9865" w:type="dxa"/>
          <w:vAlign w:val="bottom"/>
        </w:tcPr>
        <w:p w:rsidR="00D679AA" w:rsidRPr="009916C8" w:rsidRDefault="00D679AA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D679AA" w:rsidRDefault="00D679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AA" w:rsidRDefault="00D679AA" w:rsidP="00126B77">
      <w:pPr>
        <w:spacing w:after="0" w:line="240" w:lineRule="auto"/>
      </w:pPr>
      <w:r>
        <w:separator/>
      </w:r>
    </w:p>
  </w:footnote>
  <w:footnote w:type="continuationSeparator" w:id="0">
    <w:p w:rsidR="00D679AA" w:rsidRDefault="00D679AA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D679AA">
      <w:trPr>
        <w:trHeight w:val="213"/>
      </w:trPr>
      <w:tc>
        <w:tcPr>
          <w:tcW w:w="9865" w:type="dxa"/>
          <w:vAlign w:val="center"/>
        </w:tcPr>
        <w:p w:rsidR="00D679AA" w:rsidRDefault="00D679AA">
          <w:pPr>
            <w:spacing w:after="0" w:line="240" w:lineRule="auto"/>
          </w:pPr>
        </w:p>
      </w:tc>
    </w:tr>
  </w:tbl>
  <w:p w:rsidR="00D679AA" w:rsidRDefault="00D679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D679AA">
      <w:trPr>
        <w:trHeight w:val="213"/>
      </w:trPr>
      <w:tc>
        <w:tcPr>
          <w:tcW w:w="9865" w:type="dxa"/>
          <w:vAlign w:val="center"/>
        </w:tcPr>
        <w:p w:rsidR="00D679AA" w:rsidRDefault="00D679AA">
          <w:pPr>
            <w:spacing w:after="0" w:line="240" w:lineRule="auto"/>
          </w:pPr>
        </w:p>
      </w:tc>
    </w:tr>
  </w:tbl>
  <w:p w:rsidR="00D679AA" w:rsidRDefault="00D679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892243B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2173944"/>
    <w:multiLevelType w:val="hybridMultilevel"/>
    <w:tmpl w:val="23F278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146E3"/>
    <w:rsid w:val="000314B1"/>
    <w:rsid w:val="00047963"/>
    <w:rsid w:val="00053058"/>
    <w:rsid w:val="00085509"/>
    <w:rsid w:val="000917B5"/>
    <w:rsid w:val="00091C94"/>
    <w:rsid w:val="000A32EA"/>
    <w:rsid w:val="00103B27"/>
    <w:rsid w:val="00125022"/>
    <w:rsid w:val="00126B77"/>
    <w:rsid w:val="00130CBA"/>
    <w:rsid w:val="001700F2"/>
    <w:rsid w:val="00174498"/>
    <w:rsid w:val="00182803"/>
    <w:rsid w:val="0019374C"/>
    <w:rsid w:val="00196929"/>
    <w:rsid w:val="001B1DF4"/>
    <w:rsid w:val="001E2356"/>
    <w:rsid w:val="00207285"/>
    <w:rsid w:val="002C2F13"/>
    <w:rsid w:val="002D061B"/>
    <w:rsid w:val="002F5893"/>
    <w:rsid w:val="0030403D"/>
    <w:rsid w:val="00365B53"/>
    <w:rsid w:val="003A7295"/>
    <w:rsid w:val="003C3863"/>
    <w:rsid w:val="003D1B98"/>
    <w:rsid w:val="003D5353"/>
    <w:rsid w:val="003E180F"/>
    <w:rsid w:val="00406FD9"/>
    <w:rsid w:val="00441CF6"/>
    <w:rsid w:val="00474AC2"/>
    <w:rsid w:val="00487277"/>
    <w:rsid w:val="004D2A33"/>
    <w:rsid w:val="004E3064"/>
    <w:rsid w:val="00531C10"/>
    <w:rsid w:val="0057084C"/>
    <w:rsid w:val="00595C51"/>
    <w:rsid w:val="005B1B6A"/>
    <w:rsid w:val="005C49DC"/>
    <w:rsid w:val="006112D2"/>
    <w:rsid w:val="00613A75"/>
    <w:rsid w:val="00656A19"/>
    <w:rsid w:val="00691A80"/>
    <w:rsid w:val="006A3E6F"/>
    <w:rsid w:val="006D10AA"/>
    <w:rsid w:val="006D274C"/>
    <w:rsid w:val="007142A9"/>
    <w:rsid w:val="0071686A"/>
    <w:rsid w:val="00727261"/>
    <w:rsid w:val="00737A55"/>
    <w:rsid w:val="00751F69"/>
    <w:rsid w:val="00790D8C"/>
    <w:rsid w:val="007C7841"/>
    <w:rsid w:val="007F203E"/>
    <w:rsid w:val="007F54E5"/>
    <w:rsid w:val="00820623"/>
    <w:rsid w:val="0083731F"/>
    <w:rsid w:val="00845701"/>
    <w:rsid w:val="008A7BD0"/>
    <w:rsid w:val="008D6392"/>
    <w:rsid w:val="008E64D5"/>
    <w:rsid w:val="00926BDD"/>
    <w:rsid w:val="0098647A"/>
    <w:rsid w:val="009916C8"/>
    <w:rsid w:val="009E2F66"/>
    <w:rsid w:val="009F4347"/>
    <w:rsid w:val="00A01EEA"/>
    <w:rsid w:val="00A058E8"/>
    <w:rsid w:val="00A375CE"/>
    <w:rsid w:val="00A83B9C"/>
    <w:rsid w:val="00A8403D"/>
    <w:rsid w:val="00AB791B"/>
    <w:rsid w:val="00AF6505"/>
    <w:rsid w:val="00B2405E"/>
    <w:rsid w:val="00B325B9"/>
    <w:rsid w:val="00B53DC1"/>
    <w:rsid w:val="00B57CFF"/>
    <w:rsid w:val="00B861BE"/>
    <w:rsid w:val="00B931A0"/>
    <w:rsid w:val="00BB6E59"/>
    <w:rsid w:val="00BD01BD"/>
    <w:rsid w:val="00BD3746"/>
    <w:rsid w:val="00BE27C7"/>
    <w:rsid w:val="00C014EA"/>
    <w:rsid w:val="00C2771F"/>
    <w:rsid w:val="00C314DF"/>
    <w:rsid w:val="00C37F9D"/>
    <w:rsid w:val="00CA5B90"/>
    <w:rsid w:val="00CC6753"/>
    <w:rsid w:val="00CE4961"/>
    <w:rsid w:val="00CF0124"/>
    <w:rsid w:val="00D301A1"/>
    <w:rsid w:val="00D679AA"/>
    <w:rsid w:val="00D75D04"/>
    <w:rsid w:val="00D87DA1"/>
    <w:rsid w:val="00DC2A27"/>
    <w:rsid w:val="00DD19FC"/>
    <w:rsid w:val="00DE585F"/>
    <w:rsid w:val="00DE5964"/>
    <w:rsid w:val="00DF4AAB"/>
    <w:rsid w:val="00E25286"/>
    <w:rsid w:val="00E26BAA"/>
    <w:rsid w:val="00E963B3"/>
    <w:rsid w:val="00EC7A88"/>
    <w:rsid w:val="00EF48DD"/>
    <w:rsid w:val="00EF7CBB"/>
    <w:rsid w:val="00F21E33"/>
    <w:rsid w:val="00F232D4"/>
    <w:rsid w:val="00F340AF"/>
    <w:rsid w:val="00F4366F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FE26DDA4-D600-4AA1-9B16-C8C9E83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20</cp:revision>
  <cp:lastPrinted>2019-08-20T12:21:00Z</cp:lastPrinted>
  <dcterms:created xsi:type="dcterms:W3CDTF">2019-09-03T13:34:00Z</dcterms:created>
  <dcterms:modified xsi:type="dcterms:W3CDTF">2020-05-06T07:16:00Z</dcterms:modified>
</cp:coreProperties>
</file>