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CD4646">
        <w:rPr>
          <w:sz w:val="20"/>
          <w:szCs w:val="20"/>
        </w:rPr>
        <w:t>20</w:t>
      </w:r>
    </w:p>
    <w:p w:rsidR="00D301A1" w:rsidRDefault="000328E3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3C54B1" w:rsidRPr="006A3E6F" w:rsidRDefault="003C54B1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Menuisier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, Wa)</w:t>
                  </w:r>
                </w:p>
                <w:p w:rsidR="003C54B1" w:rsidRPr="006A3E6F" w:rsidRDefault="003C54B1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246"/>
        <w:gridCol w:w="538"/>
        <w:gridCol w:w="236"/>
        <w:gridCol w:w="632"/>
        <w:gridCol w:w="508"/>
        <w:gridCol w:w="135"/>
        <w:gridCol w:w="823"/>
        <w:gridCol w:w="85"/>
        <w:gridCol w:w="643"/>
        <w:gridCol w:w="229"/>
        <w:gridCol w:w="523"/>
        <w:gridCol w:w="791"/>
        <w:gridCol w:w="564"/>
        <w:gridCol w:w="36"/>
        <w:gridCol w:w="1915"/>
      </w:tblGrid>
      <w:tr w:rsidR="00474AC2" w:rsidTr="003E180F">
        <w:tc>
          <w:tcPr>
            <w:tcW w:w="9572" w:type="dxa"/>
            <w:gridSpan w:val="16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6"/>
          </w:tcPr>
          <w:p w:rsidR="0083731F" w:rsidRDefault="00003706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Travaux de menuiserie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003706" w:rsidTr="00167C4F">
        <w:tc>
          <w:tcPr>
            <w:tcW w:w="4786" w:type="dxa"/>
            <w:gridSpan w:val="8"/>
            <w:shd w:val="clear" w:color="auto" w:fill="FFFFFF" w:themeFill="background1"/>
          </w:tcPr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 à onglet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Visseuse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 de chantier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Panneauteuse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Aspirateur de poussière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Mortaiseuse à chaine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Pierre à eau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Ponceuse à bande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Rabot électrique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Ponceuse vibrante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 sauteuse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 circulaire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Cloueuse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Affleureuse de chant</w:t>
            </w:r>
          </w:p>
        </w:tc>
        <w:tc>
          <w:tcPr>
            <w:tcW w:w="4786" w:type="dxa"/>
            <w:gridSpan w:val="8"/>
            <w:shd w:val="clear" w:color="auto" w:fill="FFFFFF" w:themeFill="background1"/>
          </w:tcPr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Foreuse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Défonceuse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proofErr w:type="spellStart"/>
            <w:r>
              <w:rPr>
                <w:szCs w:val="20"/>
              </w:rPr>
              <w:t>Rainureuse</w:t>
            </w:r>
            <w:proofErr w:type="spellEnd"/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électrique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Touret à meuler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Meuleuse d’angle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Compresseur portable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Niveau laser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Visseuse</w:t>
            </w:r>
          </w:p>
          <w:p w:rsidR="00003706" w:rsidRDefault="00003706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Perceuse</w:t>
            </w:r>
          </w:p>
          <w:p w:rsidR="00003706" w:rsidRPr="00003706" w:rsidRDefault="00003706" w:rsidP="00003706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Turbine basse pression</w:t>
            </w:r>
          </w:p>
        </w:tc>
      </w:tr>
      <w:tr w:rsidR="0083731F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BB4E95" w:rsidTr="00D07026">
        <w:tc>
          <w:tcPr>
            <w:tcW w:w="1914" w:type="dxa"/>
            <w:gridSpan w:val="2"/>
            <w:shd w:val="clear" w:color="auto" w:fill="FFFFFF" w:themeFill="background1"/>
          </w:tcPr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32385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1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32385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2" name="Image 1" descr="Résultat de recherche d'images pour &quot;pictogramme port du masque obligat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ictogramme port du masque obligat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915" w:type="dxa"/>
            <w:gridSpan w:val="5"/>
            <w:shd w:val="clear" w:color="auto" w:fill="FFFFFF" w:themeFill="background1"/>
          </w:tcPr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32385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3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914" w:type="dxa"/>
            <w:gridSpan w:val="4"/>
            <w:shd w:val="clear" w:color="auto" w:fill="FFFFFF" w:themeFill="background1"/>
          </w:tcPr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165735</wp:posOffset>
                  </wp:positionV>
                  <wp:extent cx="475615" cy="476250"/>
                  <wp:effectExtent l="19050" t="0" r="635" b="0"/>
                  <wp:wrapSquare wrapText="bothSides"/>
                  <wp:docPr id="14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  <w:shd w:val="clear" w:color="auto" w:fill="FFFFFF" w:themeFill="background1"/>
          </w:tcPr>
          <w:p w:rsidR="00BB4E95" w:rsidRDefault="00BB4E95" w:rsidP="00207285">
            <w:pPr>
              <w:pStyle w:val="Sansinterligne"/>
              <w:rPr>
                <w:szCs w:val="20"/>
              </w:rPr>
            </w:pPr>
          </w:p>
          <w:p w:rsidR="00BB4E95" w:rsidRDefault="00BB4E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32385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5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4E95" w:rsidRPr="00F232D4" w:rsidRDefault="00BB4E95" w:rsidP="008E64D5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9"/>
            <w:shd w:val="clear" w:color="auto" w:fill="FFFFFF" w:themeFill="background1"/>
          </w:tcPr>
          <w:p w:rsidR="003A7295" w:rsidRPr="0083731F" w:rsidRDefault="00207285" w:rsidP="000A37B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7"/>
            <w:shd w:val="clear" w:color="auto" w:fill="FFFFFF" w:themeFill="background1"/>
          </w:tcPr>
          <w:p w:rsidR="003A7295" w:rsidRPr="0083731F" w:rsidRDefault="00207285" w:rsidP="000A37B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6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9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7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0A37B6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0A37B6" w:rsidRDefault="000A37B6" w:rsidP="003C54B1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0A37B6" w:rsidTr="000A37B6">
        <w:tc>
          <w:tcPr>
            <w:tcW w:w="9572" w:type="dxa"/>
            <w:gridSpan w:val="16"/>
            <w:shd w:val="clear" w:color="auto" w:fill="FFFFFF" w:themeFill="background1"/>
          </w:tcPr>
          <w:p w:rsidR="000A37B6" w:rsidRDefault="000A37B6" w:rsidP="003C54B1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0A37B6" w:rsidRDefault="000A37B6" w:rsidP="003C54B1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0A37B6" w:rsidRPr="003B139A" w:rsidRDefault="000A37B6" w:rsidP="003C54B1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9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7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9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7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6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003706" w:rsidTr="00003706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003706" w:rsidRDefault="00D0702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003706">
              <w:rPr>
                <w:szCs w:val="20"/>
              </w:rPr>
              <w:t xml:space="preserve">   ID</w:t>
            </w:r>
          </w:p>
          <w:p w:rsidR="00003706" w:rsidRDefault="00D0702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003706">
              <w:rPr>
                <w:szCs w:val="20"/>
              </w:rPr>
              <w:t xml:space="preserve">   RX thorax</w:t>
            </w:r>
          </w:p>
          <w:p w:rsidR="00003706" w:rsidRDefault="0000370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003706" w:rsidRDefault="0000370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03706" w:rsidRDefault="00003706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003706" w:rsidRDefault="00003706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003706" w:rsidRDefault="00003706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2750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003706" w:rsidRDefault="0000370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Audio</w:t>
            </w:r>
          </w:p>
          <w:p w:rsidR="00003706" w:rsidRDefault="0000370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003706" w:rsidRDefault="0000370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  <w:tc>
          <w:tcPr>
            <w:tcW w:w="1951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003706" w:rsidRDefault="00003706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1X/3ans</w:t>
            </w:r>
          </w:p>
        </w:tc>
      </w:tr>
      <w:tr w:rsidR="00474AC2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9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7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7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7"/>
            <w:shd w:val="clear" w:color="auto" w:fill="FFFFFF" w:themeFill="background1"/>
          </w:tcPr>
          <w:p w:rsidR="006E08A3" w:rsidRDefault="00E42F0B" w:rsidP="00D0702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6E08A3" w:rsidRDefault="00E42F0B" w:rsidP="00D0702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2E2654" w:rsidTr="002E2654">
        <w:tc>
          <w:tcPr>
            <w:tcW w:w="3320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7"/>
            <w:shd w:val="clear" w:color="auto" w:fill="FFFFFF" w:themeFill="background1"/>
          </w:tcPr>
          <w:p w:rsidR="006E08A3" w:rsidRDefault="002E2654" w:rsidP="0000370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6E08A3" w:rsidRDefault="002E2654" w:rsidP="0000370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D56B63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D56B63" w:rsidRDefault="00D56B63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7"/>
            <w:shd w:val="clear" w:color="auto" w:fill="FFFFFF" w:themeFill="background1"/>
          </w:tcPr>
          <w:p w:rsidR="00C41629" w:rsidRDefault="00003706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Bruit 85 à 89 dB</w:t>
            </w:r>
          </w:p>
          <w:p w:rsidR="002340A5" w:rsidRDefault="002340A5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Contraintes ergonomiques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D56B63" w:rsidRDefault="00D56B6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003706">
              <w:rPr>
                <w:szCs w:val="20"/>
              </w:rPr>
              <w:t>141</w:t>
            </w:r>
          </w:p>
          <w:p w:rsidR="002340A5" w:rsidRDefault="002340A5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2026</w:t>
            </w:r>
          </w:p>
        </w:tc>
      </w:tr>
      <w:tr w:rsidR="00003706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003706" w:rsidRDefault="00003706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Respiratoire</w:t>
            </w:r>
          </w:p>
        </w:tc>
        <w:tc>
          <w:tcPr>
            <w:tcW w:w="2946" w:type="dxa"/>
            <w:gridSpan w:val="7"/>
            <w:shd w:val="clear" w:color="auto" w:fill="FFFFFF" w:themeFill="background1"/>
          </w:tcPr>
          <w:p w:rsidR="00003706" w:rsidRDefault="00003706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Poussière</w:t>
            </w:r>
            <w:r w:rsidR="00D07026">
              <w:rPr>
                <w:szCs w:val="20"/>
              </w:rPr>
              <w:t>s</w:t>
            </w:r>
            <w:r>
              <w:rPr>
                <w:szCs w:val="20"/>
              </w:rPr>
              <w:t xml:space="preserve"> de bois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003706" w:rsidRDefault="00003706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115201</w:t>
            </w:r>
          </w:p>
        </w:tc>
      </w:tr>
      <w:tr w:rsidR="008A7BD0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6"/>
            <w:shd w:val="clear" w:color="auto" w:fill="FFFFFF" w:themeFill="background1"/>
          </w:tcPr>
          <w:p w:rsidR="00E42F0B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</w:tc>
      </w:tr>
      <w:tr w:rsidR="00B931A0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6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6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6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3C54B1" w:rsidTr="00117B5E">
        <w:tc>
          <w:tcPr>
            <w:tcW w:w="1668" w:type="dxa"/>
            <w:shd w:val="clear" w:color="auto" w:fill="FFFFFF" w:themeFill="background1"/>
            <w:vAlign w:val="center"/>
          </w:tcPr>
          <w:p w:rsidR="003C54B1" w:rsidRPr="00AB791B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– signalisation du sol glissant – Luminosité adéquate.</w:t>
            </w:r>
          </w:p>
        </w:tc>
      </w:tr>
      <w:tr w:rsidR="003C54B1" w:rsidTr="00117B5E">
        <w:tc>
          <w:tcPr>
            <w:tcW w:w="1668" w:type="dxa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C54B1" w:rsidRPr="00AB791B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3C54B1" w:rsidRPr="00AB791B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</w:t>
            </w:r>
            <w:bookmarkStart w:id="0" w:name="_GoBack"/>
            <w:bookmarkEnd w:id="0"/>
            <w:r>
              <w:rPr>
                <w:szCs w:val="20"/>
              </w:rPr>
              <w:t xml:space="preserve"> - ordre et propreté - tenir la rampe – signalisation du sol glissant.</w:t>
            </w:r>
          </w:p>
        </w:tc>
      </w:tr>
      <w:tr w:rsidR="003C54B1" w:rsidTr="00117B5E">
        <w:tc>
          <w:tcPr>
            <w:tcW w:w="1668" w:type="dxa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3C54B1" w:rsidRPr="00AB791B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3C54B1" w:rsidRPr="00AB791B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3C54B1" w:rsidRDefault="003C54B1" w:rsidP="003C54B1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3C54B1" w:rsidTr="003C54B1">
        <w:tc>
          <w:tcPr>
            <w:tcW w:w="1668" w:type="dxa"/>
            <w:shd w:val="clear" w:color="auto" w:fill="FFFFFF" w:themeFill="background1"/>
            <w:vAlign w:val="center"/>
          </w:tcPr>
          <w:p w:rsidR="003C54B1" w:rsidRPr="00434CD3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3C54B1" w:rsidRPr="00434CD3" w:rsidRDefault="003C54B1" w:rsidP="003C54B1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3C54B1" w:rsidRPr="00434CD3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3C54B1" w:rsidRPr="00434CD3" w:rsidRDefault="003C54B1" w:rsidP="003C54B1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3C54B1" w:rsidRPr="00434CD3" w:rsidRDefault="003C54B1" w:rsidP="003C54B1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6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Accès interdit </w:t>
            </w:r>
            <w:r w:rsidR="00F74E0C" w:rsidRPr="004E57FB">
              <w:rPr>
                <w:rFonts w:cs="Arial"/>
                <w:sz w:val="20"/>
                <w:szCs w:val="20"/>
              </w:rPr>
              <w:t>aux personnes</w:t>
            </w:r>
            <w:r w:rsidRPr="004E57FB">
              <w:rPr>
                <w:rFonts w:cs="Arial"/>
                <w:sz w:val="20"/>
                <w:szCs w:val="20"/>
              </w:rPr>
              <w:t xml:space="preserve"> non autorisées - Respect des distances de sécurité - S'assurer de l'ordre et la propreté du chemin emprunté - Prévoir </w:t>
            </w:r>
            <w:r w:rsidR="00F74E0C" w:rsidRPr="004E57FB">
              <w:rPr>
                <w:rFonts w:cs="Arial"/>
                <w:sz w:val="20"/>
                <w:szCs w:val="20"/>
              </w:rPr>
              <w:t>suffisamment</w:t>
            </w:r>
            <w:r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Respect des distances de sécurité - Ordre et propreté du chemin de passage - Prévoir </w:t>
            </w:r>
            <w:r w:rsidR="00F74E0C" w:rsidRPr="004E57FB">
              <w:rPr>
                <w:rFonts w:cs="Arial"/>
                <w:sz w:val="20"/>
                <w:szCs w:val="20"/>
              </w:rPr>
              <w:t>suffisamment</w:t>
            </w:r>
            <w:r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D07026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027268" w:rsidRPr="004E57FB">
              <w:rPr>
                <w:rFonts w:cs="Arial"/>
                <w:sz w:val="20"/>
                <w:szCs w:val="20"/>
              </w:rPr>
              <w:t xml:space="preserve">ormation au maniement - chaussures de sécurité - voies de circulation adaptées - ne pas utiliser en pente - matériel avec frein - respect du poids de charge maximale et </w:t>
            </w:r>
            <w:r w:rsidR="00027268" w:rsidRPr="004E57FB">
              <w:rPr>
                <w:rFonts w:cs="Arial"/>
                <w:sz w:val="20"/>
                <w:szCs w:val="20"/>
              </w:rPr>
              <w:lastRenderedPageBreak/>
              <w:t>inscription de celui-ci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Accès interdit </w:t>
            </w:r>
            <w:r w:rsidR="00F74E0C" w:rsidRPr="004E57FB">
              <w:rPr>
                <w:rFonts w:cs="Arial"/>
                <w:sz w:val="20"/>
                <w:szCs w:val="20"/>
              </w:rPr>
              <w:t>aux personnes</w:t>
            </w:r>
            <w:r w:rsidRPr="004E57FB">
              <w:rPr>
                <w:rFonts w:cs="Arial"/>
                <w:sz w:val="20"/>
                <w:szCs w:val="20"/>
              </w:rPr>
              <w:t xml:space="preserve"> non autorisées - Respect des distances de sécurité - S'assurer de l'ordre et la propreté du chemin emprunté - Prévoir </w:t>
            </w:r>
            <w:r w:rsidR="00F74E0C" w:rsidRPr="004E57FB">
              <w:rPr>
                <w:rFonts w:cs="Arial"/>
                <w:sz w:val="20"/>
                <w:szCs w:val="20"/>
              </w:rPr>
              <w:t>suffisamment</w:t>
            </w:r>
            <w:r w:rsidRPr="004E57FB">
              <w:rPr>
                <w:rFonts w:cs="Arial"/>
                <w:sz w:val="20"/>
                <w:szCs w:val="20"/>
              </w:rPr>
              <w:t xml:space="preserve"> d'espace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3C54B1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des gants  - poignée de timon fermée et arrondie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4E57FB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4E57FB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3C54B1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</w:t>
            </w:r>
            <w:r w:rsidR="003C54B1">
              <w:rPr>
                <w:rFonts w:cs="Arial"/>
                <w:sz w:val="20"/>
                <w:szCs w:val="20"/>
              </w:rPr>
              <w:t>onsignes d'utilisation du fabric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</w:t>
            </w:r>
            <w:r w:rsidR="00D07026">
              <w:rPr>
                <w:rFonts w:cs="Arial"/>
                <w:sz w:val="20"/>
                <w:szCs w:val="20"/>
              </w:rPr>
              <w:t>re réparer par personnel compéte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</w:t>
            </w:r>
            <w:r w:rsidR="003C54B1">
              <w:rPr>
                <w:rFonts w:cs="Arial"/>
                <w:sz w:val="20"/>
                <w:szCs w:val="20"/>
              </w:rPr>
              <w:t>ouvement ou à un effort violent</w:t>
            </w:r>
            <w:r w:rsidRPr="004E57FB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Utiliser un outillage de qualité approprié au travail à réaliser. Former adéquatement le personnel à l’utilisation de chaque type d’outil. Utiliser des gants pour manipuler un outillage coupant. Procéder à un entretien périodique des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projection de fragments ou de particules.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Travaux avec risque Tétanos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Extra-Légal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4E57FB" w:rsidRDefault="004E57FB" w:rsidP="00D07026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Tétanos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Extra-Légal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 w:rsidR="00D07026">
              <w:rPr>
                <w:rFonts w:cs="Arial"/>
                <w:sz w:val="20"/>
                <w:szCs w:val="20"/>
              </w:rPr>
              <w:t xml:space="preserve"> conseillée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3C54B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766542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</w:t>
            </w:r>
            <w:r w:rsidR="003C54B1">
              <w:rPr>
                <w:rFonts w:cs="Arial"/>
                <w:sz w:val="20"/>
                <w:szCs w:val="20"/>
              </w:rPr>
              <w:t>el formé et désigné uniquement.</w:t>
            </w:r>
            <w:r w:rsidRPr="0094615C">
              <w:rPr>
                <w:rFonts w:cs="Arial"/>
                <w:sz w:val="20"/>
                <w:szCs w:val="20"/>
              </w:rPr>
              <w:t xml:space="preserve"> Le chariot doit être mis hors tension lorsque laissé sans surveillance. En utilisant ce chariot, être attentif à l'environnement et ne pas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se laisser distraire.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  <w:r w:rsidR="003C54B1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Foreuse sur pied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Contimac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Contact avec l'outil ou le mandrin en rotation - risque mécanique (coupure, fracture,</w:t>
            </w:r>
            <w:r w:rsidR="00D07026">
              <w:rPr>
                <w:rFonts w:cs="Arial"/>
                <w:sz w:val="20"/>
                <w:szCs w:val="20"/>
              </w:rPr>
              <w:t xml:space="preserve"> </w:t>
            </w:r>
            <w:r w:rsidRPr="00BF1516">
              <w:rPr>
                <w:rFonts w:cs="Arial"/>
                <w:sz w:val="20"/>
                <w:szCs w:val="20"/>
              </w:rPr>
              <w:t>etc.)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Utiliser le garant et l'</w:t>
            </w:r>
            <w:r w:rsidR="00D07026">
              <w:rPr>
                <w:rFonts w:cs="Arial"/>
                <w:sz w:val="20"/>
                <w:szCs w:val="20"/>
              </w:rPr>
              <w:t>arrêt d'urgence, attendre l'arrê</w:t>
            </w:r>
            <w:r w:rsidRPr="00BF1516">
              <w:rPr>
                <w:rFonts w:cs="Arial"/>
                <w:sz w:val="20"/>
                <w:szCs w:val="20"/>
              </w:rPr>
              <w:t xml:space="preserve">t complet de la rotation avant d'intervenir à proximité, ne pas </w:t>
            </w:r>
            <w:r w:rsidR="00D07026">
              <w:rPr>
                <w:rFonts w:cs="Arial"/>
                <w:sz w:val="20"/>
                <w:szCs w:val="20"/>
              </w:rPr>
              <w:t>appr</w:t>
            </w:r>
            <w:r w:rsidRPr="00BF1516">
              <w:rPr>
                <w:rFonts w:cs="Arial"/>
                <w:sz w:val="20"/>
                <w:szCs w:val="20"/>
              </w:rPr>
              <w:t>ocher de l'outil avec des gants, porter des vêtements ajustés, ne pas tenir la pièce pendant l'usinage.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Touret à meuler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Métabo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particules (limailles, morceaux de meule) - projection d'étincelles - Incendie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D07026" w:rsidP="00BF15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lacer les écrans de protection, porter les EPI, vérifier l'état de la meule (remplacer si fissurée ou endommagée), ne pas utiliser dans une </w:t>
            </w:r>
            <w:r w:rsidR="00F74E0C" w:rsidRPr="00BF1516">
              <w:rPr>
                <w:rFonts w:cs="Arial"/>
                <w:sz w:val="20"/>
                <w:szCs w:val="20"/>
              </w:rPr>
              <w:t>zone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de stockage de matières inflammable</w:t>
            </w:r>
            <w:r>
              <w:rPr>
                <w:rFonts w:cs="Arial"/>
                <w:sz w:val="20"/>
                <w:szCs w:val="20"/>
              </w:rPr>
              <w:t>s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ou dans une </w:t>
            </w:r>
            <w:r w:rsidR="00F74E0C" w:rsidRPr="00BF1516">
              <w:rPr>
                <w:rFonts w:cs="Arial"/>
                <w:sz w:val="20"/>
                <w:szCs w:val="20"/>
              </w:rPr>
              <w:t>zone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de circulation.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Défonceuse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Blessures - électrisation lors de l'utilisation - lésions auditives ou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Lire et respecter les consignes d'utilisation - </w:t>
            </w:r>
            <w:proofErr w:type="gramStart"/>
            <w:r w:rsidRPr="00BF1516">
              <w:rPr>
                <w:rFonts w:cs="Arial"/>
                <w:sz w:val="20"/>
                <w:szCs w:val="20"/>
              </w:rPr>
              <w:t>porter</w:t>
            </w:r>
            <w:proofErr w:type="gramEnd"/>
            <w:r w:rsidRPr="00BF1516">
              <w:rPr>
                <w:rFonts w:cs="Arial"/>
                <w:sz w:val="20"/>
                <w:szCs w:val="20"/>
              </w:rPr>
              <w:t xml:space="preserve"> des protections auditives et des lunettes de sécurité</w:t>
            </w:r>
            <w:r w:rsidR="00BF02F1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Mini Scie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Exakt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PS150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Blessures / coupures à un membre, lésions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ou auditives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et respecter les consignes d'utilisation, porter lunettes de protection et protections auditives.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Niveau Laser Ligne Bosch GLL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occulaire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Ne pas viser les yeux de personnes avec le rayon laser, éviter de pointer le rayon vers vos yeux. Lire la notice</w:t>
            </w:r>
            <w:r w:rsidR="00BF02F1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Cloueuse électrique sans fil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HewiTool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de blessures aux membres, risque de lésions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la notice d'utilisation et les consignes de sécurité - porter des lunettes de protections</w:t>
            </w:r>
            <w:r w:rsidR="00BF02F1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Cloueuse pneumatique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HewiTool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Blessures à un membre, aux pieds ou lésions auditives ou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Respecter les consignes CHBA d'utilisation d'une cloueuse pneumatique - port de chaussures de sécurité, port de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protections auditives, port de lunettes de protection</w:t>
            </w:r>
            <w:r w:rsidR="00BF02F1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Blessure/ coupure / </w:t>
            </w:r>
            <w:r w:rsidR="00BF02F1" w:rsidRPr="00BF1516">
              <w:rPr>
                <w:rFonts w:cs="Arial"/>
                <w:sz w:val="20"/>
                <w:szCs w:val="20"/>
              </w:rPr>
              <w:t>amputation :</w:t>
            </w:r>
            <w:r w:rsidRPr="00BF1516">
              <w:rPr>
                <w:rFonts w:cs="Arial"/>
                <w:sz w:val="20"/>
                <w:szCs w:val="20"/>
              </w:rPr>
              <w:t xml:space="preserve"> mains - doigts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Coiffe de protection </w:t>
            </w:r>
            <w:r w:rsidR="00F74E0C" w:rsidRPr="00BF1516">
              <w:rPr>
                <w:rFonts w:cs="Arial"/>
                <w:sz w:val="20"/>
                <w:szCs w:val="20"/>
              </w:rPr>
              <w:t>inférieure et supérieure</w:t>
            </w:r>
            <w:r w:rsidR="008D789A">
              <w:rPr>
                <w:rFonts w:cs="Arial"/>
                <w:sz w:val="20"/>
                <w:szCs w:val="20"/>
              </w:rPr>
              <w:t xml:space="preserve"> de la lame </w:t>
            </w:r>
            <w:r w:rsidRPr="00BF1516">
              <w:rPr>
                <w:rFonts w:cs="Arial"/>
                <w:sz w:val="20"/>
                <w:szCs w:val="20"/>
              </w:rPr>
              <w:t>- travailleurs formés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Interrupteur électrique étanche - mise à la terre - installation dans une zone sèche - alimentation manchons anti-humidité et prise étanche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Foreuse sur pied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Contimac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Contact avec l'outil ou le mandrin en rotation - risque mécanique (coupure, </w:t>
            </w:r>
            <w:r w:rsidR="008D789A" w:rsidRPr="00BF1516">
              <w:rPr>
                <w:rFonts w:cs="Arial"/>
                <w:sz w:val="20"/>
                <w:szCs w:val="20"/>
              </w:rPr>
              <w:t>fracture, etc.</w:t>
            </w:r>
            <w:r w:rsidRPr="00BF1516">
              <w:rPr>
                <w:rFonts w:cs="Arial"/>
                <w:sz w:val="20"/>
                <w:szCs w:val="20"/>
              </w:rPr>
              <w:t>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Utiliser le garant et l'arrêt d'urgence, attendre l'</w:t>
            </w:r>
            <w:r w:rsidR="00F74E0C" w:rsidRPr="00BF1516">
              <w:rPr>
                <w:rFonts w:cs="Arial"/>
                <w:sz w:val="20"/>
                <w:szCs w:val="20"/>
              </w:rPr>
              <w:t>arrêt</w:t>
            </w:r>
            <w:r w:rsidRPr="00BF1516">
              <w:rPr>
                <w:rFonts w:cs="Arial"/>
                <w:sz w:val="20"/>
                <w:szCs w:val="20"/>
              </w:rPr>
              <w:t xml:space="preserve"> complet de la rotation avant d'intervenir à proximité, ne pas </w:t>
            </w:r>
            <w:r w:rsidR="00F74E0C" w:rsidRPr="00BF1516">
              <w:rPr>
                <w:rFonts w:cs="Arial"/>
                <w:sz w:val="20"/>
                <w:szCs w:val="20"/>
              </w:rPr>
              <w:t>approcher</w:t>
            </w:r>
            <w:r w:rsidRPr="00BF1516">
              <w:rPr>
                <w:rFonts w:cs="Arial"/>
                <w:sz w:val="20"/>
                <w:szCs w:val="20"/>
              </w:rPr>
              <w:t xml:space="preserve"> de l'outil avec des gants, porter des vêtements ajustés, ne pas tenir la pièce pendant l'usinage.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poussières et particules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Vérifier que le matériel à couper est exempt de clous de parties métalliques - port de lunettes de protection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Happement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Pas de vêtement à cordon - tenue près du corps  - capot de protection de poulie -  capot de lame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bois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La scie devra être munie d'un ciseau diviseur - Ne pas se trouver dans </w:t>
            </w:r>
            <w:r w:rsidR="00F74E0C">
              <w:rPr>
                <w:rFonts w:cs="Arial"/>
                <w:sz w:val="20"/>
                <w:szCs w:val="20"/>
              </w:rPr>
              <w:t>le champ</w:t>
            </w:r>
            <w:r w:rsidRPr="00BF1516">
              <w:rPr>
                <w:rFonts w:cs="Arial"/>
                <w:sz w:val="20"/>
                <w:szCs w:val="20"/>
              </w:rPr>
              <w:t xml:space="preserve"> d'expulsion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Scie circulaire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de blessures graves (coupures...), lésions auditives et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et respecter les consignes d'utilisation - porter un masque anti-poussière et des protections auditives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Déséquilibre/chute du à des chutes de bois au sol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Pas de sol encombré - écarter les chutes de bois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Aspiration de poussière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DC1300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Explosion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Respecter le zonage ATEX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Excentrique Bosch GEX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Vibration main-bras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 de protection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Excentrique Bosch GEX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Exposition au bruit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protection auditive adéquate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Ponceuse Excentrique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Bosch GEX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Projection de copeaux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possible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Port de lunettes de protection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Ponceuse Excentrique Bosch GEX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Blessure/écorchure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 de sécurité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Excentrique Bosch GEX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Chute d'élément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Aspirateur Bosch GAS 50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Electrisation / Incendie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et respecter les consignes d'utilisation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REBQ-Plus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Rupture du disque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Vérifier état du disque avant le travail,  remplacer si n</w:t>
            </w:r>
            <w:r w:rsidR="008D789A">
              <w:rPr>
                <w:rFonts w:cs="Arial"/>
                <w:sz w:val="20"/>
                <w:szCs w:val="20"/>
              </w:rPr>
              <w:t>écessaire.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Rabot Electrique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copeaux durant la coupe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protection, mise en place éventuelle d'un écran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Rabot Electrique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Coupure/blessure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8D789A" w:rsidP="00BF15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- n</w:t>
            </w:r>
            <w:r w:rsidR="00BF1516" w:rsidRPr="00BF1516">
              <w:rPr>
                <w:rFonts w:cs="Arial"/>
                <w:sz w:val="20"/>
                <w:szCs w:val="20"/>
              </w:rPr>
              <w:t>ettoyage régulier de la machine pour évacuer les copeaux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Rabot Electrique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Chute d'élément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Rabot Electrique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Exposition au bruit 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protection auditive adéquate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Rabot Electrique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copeaux durant le nettoyage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</w:t>
            </w:r>
            <w:r w:rsidR="008D789A">
              <w:rPr>
                <w:rFonts w:cs="Arial"/>
                <w:sz w:val="20"/>
                <w:szCs w:val="20"/>
              </w:rPr>
              <w:t>ser une brosse ou un aspirateur - é</w:t>
            </w:r>
            <w:r w:rsidRPr="00BF1516">
              <w:rPr>
                <w:rFonts w:cs="Arial"/>
                <w:sz w:val="20"/>
                <w:szCs w:val="20"/>
              </w:rPr>
              <w:t>viter l'utilisation de la soufflette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Exposition au bruit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Port de </w:t>
            </w:r>
            <w:r w:rsidR="00F74E0C" w:rsidRPr="00BF1516">
              <w:rPr>
                <w:rFonts w:cs="Arial"/>
                <w:sz w:val="20"/>
                <w:szCs w:val="20"/>
              </w:rPr>
              <w:t>protections auditives</w:t>
            </w:r>
            <w:r w:rsidRPr="00BF1516">
              <w:rPr>
                <w:rFonts w:cs="Arial"/>
                <w:sz w:val="20"/>
                <w:szCs w:val="20"/>
              </w:rPr>
              <w:t>, signalisation sur la machine (picto</w:t>
            </w:r>
            <w:r w:rsidR="008D789A">
              <w:rPr>
                <w:rFonts w:cs="Arial"/>
                <w:sz w:val="20"/>
                <w:szCs w:val="20"/>
              </w:rPr>
              <w:t>gramme).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8D789A" w:rsidP="00BF151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 lunettes de sécurité - </w:t>
            </w:r>
            <w:r w:rsidR="00BF1516" w:rsidRPr="00BF1516">
              <w:rPr>
                <w:rFonts w:cs="Arial"/>
                <w:sz w:val="20"/>
                <w:szCs w:val="20"/>
              </w:rPr>
              <w:t>mise en place éventuelle d'un écran de protection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Choc contre des personnes (plaques de bois)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Espace de travail suffisant dans la zone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Inhalation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Utilisation d'une aspiration de poussière + port d'un masque P3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électrique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Vérification périodique de l'installation électrique et des câbles.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Manutention des plaques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Manutention par 2 personnes des plaques de plus de 15kg et/ou de plus de 1m50</w:t>
            </w:r>
            <w:r w:rsidR="008D789A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Coupure/éraflure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 pour manipuler les plaques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Rupture de lame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Vérification du bon état de la lame. Utilisation uniquement pour les plaques de bois.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HX310 pro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Glissade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Nettoyage/évacuation régulière de la sciure de bois à l'aide d'une brosse ou d'un aspirateur. Pas d'utilisation de la soufflette.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Scie à onglet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Metabo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de blessures/coupures - risque de lésions </w:t>
            </w:r>
            <w:r w:rsidR="006D6989" w:rsidRPr="00BF1516">
              <w:rPr>
                <w:rFonts w:cs="Arial"/>
                <w:sz w:val="20"/>
                <w:szCs w:val="20"/>
              </w:rPr>
              <w:t>oculaires</w:t>
            </w:r>
            <w:r w:rsidRPr="00BF1516">
              <w:rPr>
                <w:rFonts w:cs="Arial"/>
                <w:sz w:val="20"/>
                <w:szCs w:val="20"/>
              </w:rPr>
              <w:t xml:space="preserve"> - risque de lésions auditives - risques suite à l'inhalation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et respecter les consignes d'utilisation - porter des lunettes de sécurité, des protections auditives et un masque anti-poussières.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Meuleuse d'angle sans fil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de blessures / coupures, risque de lésions auditives, risque de lésions </w:t>
            </w:r>
            <w:r w:rsidR="006D6989" w:rsidRPr="00BF1516">
              <w:rPr>
                <w:rFonts w:cs="Arial"/>
                <w:sz w:val="20"/>
                <w:szCs w:val="20"/>
              </w:rPr>
              <w:t>oculaires</w:t>
            </w:r>
            <w:r w:rsidRPr="00BF1516">
              <w:rPr>
                <w:rFonts w:cs="Arial"/>
                <w:sz w:val="20"/>
                <w:szCs w:val="20"/>
              </w:rPr>
              <w:t xml:space="preserve">, risque lié à l'inhalation de </w:t>
            </w:r>
            <w:r w:rsidR="006D6989">
              <w:rPr>
                <w:rFonts w:cs="Arial"/>
                <w:sz w:val="20"/>
                <w:szCs w:val="20"/>
              </w:rPr>
              <w:t>poussières</w:t>
            </w:r>
            <w:r w:rsidRPr="00BF1516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Lire et respecter la notice d'utilisation, porter des lunettes de sécurité, porter des protections acoustiques, porter un masque anti-poussières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à Onglet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D0702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S'assurer que le garant inférieur est en place, couvre toute la lame et glisse libremen</w:t>
            </w:r>
            <w:r w:rsidR="00D07026">
              <w:rPr>
                <w:rFonts w:cs="Arial"/>
                <w:sz w:val="20"/>
                <w:szCs w:val="20"/>
              </w:rPr>
              <w:t>t avant d'utiliser la machine. N</w:t>
            </w:r>
            <w:r w:rsidRPr="00BF1516">
              <w:rPr>
                <w:rFonts w:cs="Arial"/>
                <w:sz w:val="20"/>
                <w:szCs w:val="20"/>
              </w:rPr>
              <w:t xml:space="preserve">e pas placer les membres près de la lame. 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 xml:space="preserve">e pas utiliser une </w:t>
            </w:r>
            <w:r w:rsidR="00F74E0C" w:rsidRPr="00BF1516">
              <w:rPr>
                <w:rFonts w:cs="Arial"/>
                <w:sz w:val="20"/>
                <w:szCs w:val="20"/>
              </w:rPr>
              <w:t>machine</w:t>
            </w:r>
            <w:r w:rsidRPr="00BF1516">
              <w:rPr>
                <w:rFonts w:cs="Arial"/>
                <w:sz w:val="20"/>
                <w:szCs w:val="20"/>
              </w:rPr>
              <w:t xml:space="preserve"> défectueuse. Suivre les instructions du mode d'emploi.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à Onglet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 suite à projection du bois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Toujours serrer fermement ou placer dans l'étau et contre la barrière le bois à travailler. </w:t>
            </w:r>
            <w:r w:rsidR="00F74E0C" w:rsidRPr="00BF1516">
              <w:rPr>
                <w:rFonts w:cs="Arial"/>
                <w:sz w:val="20"/>
                <w:szCs w:val="20"/>
              </w:rPr>
              <w:t>Toujours utiliser</w:t>
            </w:r>
            <w:r w:rsidRPr="00BF1516">
              <w:rPr>
                <w:rFonts w:cs="Arial"/>
                <w:sz w:val="20"/>
                <w:szCs w:val="20"/>
              </w:rPr>
              <w:t xml:space="preserve"> des supports extérieurs si la pièce dépasse l'établi de la scie à onglet.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à Onglet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D07026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Lésions auditives ou o</w:t>
            </w:r>
            <w:r w:rsidR="00BF1516" w:rsidRPr="00BF1516">
              <w:rPr>
                <w:rFonts w:cs="Arial"/>
                <w:sz w:val="20"/>
                <w:szCs w:val="20"/>
              </w:rPr>
              <w:t>culaires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6D6989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protection et de protections auditives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à Onglet Bosch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Respiration de poussières de bois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Port de </w:t>
            </w:r>
            <w:r w:rsidR="00F74E0C" w:rsidRPr="00BF1516">
              <w:rPr>
                <w:rFonts w:cs="Arial"/>
                <w:sz w:val="20"/>
                <w:szCs w:val="20"/>
              </w:rPr>
              <w:t>protection respiratoire</w:t>
            </w:r>
            <w:r w:rsidRPr="00BF1516">
              <w:rPr>
                <w:rFonts w:cs="Arial"/>
                <w:sz w:val="20"/>
                <w:szCs w:val="20"/>
              </w:rPr>
              <w:t xml:space="preserve"> anti-poussières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6D6989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Aspiration de poussière menuiserie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Explosion de poussières - Incendie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Respecter le zonage ATEX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Travaux à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l'extérieur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Risques liés aux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conditions climatiques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P</w:t>
            </w:r>
            <w:r w:rsidR="00D07026">
              <w:rPr>
                <w:rFonts w:cs="Arial"/>
                <w:sz w:val="20"/>
                <w:szCs w:val="20"/>
              </w:rPr>
              <w:t xml:space="preserve">ort de vêtements </w:t>
            </w:r>
            <w:r w:rsidR="00D07026">
              <w:rPr>
                <w:rFonts w:cs="Arial"/>
                <w:sz w:val="20"/>
                <w:szCs w:val="20"/>
              </w:rPr>
              <w:lastRenderedPageBreak/>
              <w:t>adaptés (veste</w:t>
            </w:r>
            <w:r w:rsidRPr="00BF1516">
              <w:rPr>
                <w:rFonts w:cs="Arial"/>
                <w:sz w:val="20"/>
                <w:szCs w:val="20"/>
              </w:rPr>
              <w:t xml:space="preserve"> de pluie, chaussures S</w:t>
            </w:r>
            <w:r w:rsidR="00D07026">
              <w:rPr>
                <w:rFonts w:cs="Arial"/>
                <w:sz w:val="20"/>
                <w:szCs w:val="20"/>
              </w:rPr>
              <w:t>3, Bottes S5, chapeau/casquette</w:t>
            </w:r>
            <w:r w:rsidRPr="00BF1516">
              <w:rPr>
                <w:rFonts w:cs="Arial"/>
                <w:sz w:val="20"/>
                <w:szCs w:val="20"/>
              </w:rPr>
              <w:t xml:space="preserve">), possibilité de s'abriter dans le </w:t>
            </w:r>
            <w:r w:rsidR="00F74E0C" w:rsidRPr="00BF1516">
              <w:rPr>
                <w:rFonts w:cs="Arial"/>
                <w:sz w:val="20"/>
                <w:szCs w:val="20"/>
              </w:rPr>
              <w:t>bâtiment</w:t>
            </w:r>
            <w:r w:rsidRPr="00BF1516">
              <w:rPr>
                <w:rFonts w:cs="Arial"/>
                <w:sz w:val="20"/>
                <w:szCs w:val="20"/>
              </w:rPr>
              <w:t>, organiser le travail en tenant compte des conditions clima</w:t>
            </w:r>
            <w:r w:rsidR="00D07026">
              <w:rPr>
                <w:rFonts w:cs="Arial"/>
                <w:sz w:val="20"/>
                <w:szCs w:val="20"/>
              </w:rPr>
              <w:t>tiques, boissons chaudes (hiver</w:t>
            </w:r>
            <w:r w:rsidRPr="00BF1516">
              <w:rPr>
                <w:rFonts w:cs="Arial"/>
                <w:sz w:val="20"/>
                <w:szCs w:val="20"/>
              </w:rPr>
              <w:t>) et froide</w:t>
            </w:r>
            <w:r w:rsidR="00D07026">
              <w:rPr>
                <w:rFonts w:cs="Arial"/>
                <w:sz w:val="20"/>
                <w:szCs w:val="20"/>
              </w:rPr>
              <w:t>s</w:t>
            </w:r>
            <w:r w:rsidRPr="00BF1516">
              <w:rPr>
                <w:rFonts w:cs="Arial"/>
                <w:sz w:val="20"/>
                <w:szCs w:val="20"/>
              </w:rPr>
              <w:t xml:space="preserve"> (été)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Travaux à l'extérieur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Blessures aux pieds/ trébuchement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Lésions oculaires -&gt; poussières, projection des particules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sécurité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Troubles auditifs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Protection auditive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Blessures aux mains/ coupures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Respect des consignes d'utilisation : Gants pour la manipulation, ne pas enlever les garants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Lésions des voies respiratoires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d'un masque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Combiné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Robland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NLX avec Entraineur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 dos -&gt; manutention panneaux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Utilisation d'aides à la manutention / port de la charge à plusieurs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à Bande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Vibration main-bras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 atténuant les vibrations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à Bande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Exposition au bruit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protection auditive adéquate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à Bande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copeaux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protection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à Bande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Blessure/écorchure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 de sécurité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Ponceuse à Bande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Chute d'élément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6D6989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lastRenderedPageBreak/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E26C64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Utilisation par personne formée - </w:t>
            </w:r>
            <w:r w:rsidR="00D07026">
              <w:rPr>
                <w:rFonts w:cs="Arial"/>
                <w:sz w:val="20"/>
                <w:szCs w:val="20"/>
              </w:rPr>
              <w:t>R</w:t>
            </w:r>
            <w:r w:rsidRPr="00BF1516">
              <w:rPr>
                <w:rFonts w:cs="Arial"/>
                <w:sz w:val="20"/>
                <w:szCs w:val="20"/>
              </w:rPr>
              <w:t>espect des consignes d'utilisation du fabri</w:t>
            </w:r>
            <w:r w:rsidR="00E26C64">
              <w:rPr>
                <w:rFonts w:cs="Arial"/>
                <w:sz w:val="20"/>
                <w:szCs w:val="20"/>
              </w:rPr>
              <w:t>cant.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Bruits nuisibles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protection auditive adaptée</w:t>
            </w:r>
            <w:r w:rsidR="00E26C64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Intoxication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Si bois traité avec des produits toxiques - port de protections respiratoires</w:t>
            </w:r>
            <w:r w:rsidR="00E26C64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Coincement dans la rotation de la machine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vêtements adaptés</w:t>
            </w:r>
            <w:r w:rsidR="00E26C64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D07026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lésions o</w:t>
            </w:r>
            <w:r w:rsidR="00BF1516" w:rsidRPr="00BF1516">
              <w:rPr>
                <w:rFonts w:cs="Arial"/>
                <w:sz w:val="20"/>
                <w:szCs w:val="20"/>
              </w:rPr>
              <w:t>culaires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protection</w:t>
            </w:r>
            <w:r w:rsidR="00E26C64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lésions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musculo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>-squelettiques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E26C64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Formation à la </w:t>
            </w:r>
            <w:r w:rsidR="00F74E0C" w:rsidRPr="00BF1516">
              <w:rPr>
                <w:rFonts w:cs="Arial"/>
                <w:sz w:val="20"/>
                <w:szCs w:val="20"/>
              </w:rPr>
              <w:t>manutention</w:t>
            </w:r>
            <w:r w:rsidRPr="00BF1516">
              <w:rPr>
                <w:rFonts w:cs="Arial"/>
                <w:sz w:val="20"/>
                <w:szCs w:val="20"/>
              </w:rPr>
              <w:t xml:space="preserve"> </w:t>
            </w:r>
            <w:r w:rsidR="00E26C64">
              <w:rPr>
                <w:rFonts w:cs="Arial"/>
                <w:sz w:val="20"/>
                <w:szCs w:val="20"/>
              </w:rPr>
              <w:t>- position de travail - p</w:t>
            </w:r>
            <w:r w:rsidRPr="00BF1516">
              <w:rPr>
                <w:rFonts w:cs="Arial"/>
                <w:sz w:val="20"/>
                <w:szCs w:val="20"/>
              </w:rPr>
              <w:t>orter les panneaux à 2 personnes.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F1516">
              <w:rPr>
                <w:rFonts w:cs="Arial"/>
                <w:sz w:val="20"/>
                <w:szCs w:val="20"/>
              </w:rPr>
              <w:t>Pan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>eauteuse</w:t>
            </w:r>
            <w:proofErr w:type="spellEnd"/>
            <w:r w:rsidRPr="00BF1516">
              <w:rPr>
                <w:rFonts w:cs="Arial"/>
                <w:sz w:val="20"/>
                <w:szCs w:val="20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Chute d'objets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E26C64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E26C64" w:rsidRDefault="00BF1516" w:rsidP="00BF151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E26C64">
              <w:rPr>
                <w:rFonts w:cs="Arial"/>
                <w:sz w:val="20"/>
                <w:szCs w:val="20"/>
                <w:highlight w:val="yellow"/>
              </w:rPr>
              <w:t>Pan</w:t>
            </w:r>
            <w:r w:rsidR="00D07026" w:rsidRPr="00E26C64">
              <w:rPr>
                <w:rFonts w:cs="Arial"/>
                <w:sz w:val="20"/>
                <w:szCs w:val="20"/>
                <w:highlight w:val="yellow"/>
              </w:rPr>
              <w:t>n</w:t>
            </w:r>
            <w:r w:rsidRPr="00E26C64">
              <w:rPr>
                <w:rFonts w:cs="Arial"/>
                <w:sz w:val="20"/>
                <w:szCs w:val="20"/>
                <w:highlight w:val="yellow"/>
              </w:rPr>
              <w:t>eauteuse</w:t>
            </w:r>
            <w:proofErr w:type="spellEnd"/>
            <w:r w:rsidRPr="00E26C64">
              <w:rPr>
                <w:rFonts w:cs="Arial"/>
                <w:sz w:val="20"/>
                <w:szCs w:val="20"/>
                <w:highlight w:val="yellow"/>
              </w:rPr>
              <w:t xml:space="preserve"> Verticale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E26C64" w:rsidRDefault="00BF1516" w:rsidP="00BF151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26C64">
              <w:rPr>
                <w:rFonts w:cs="Arial"/>
                <w:sz w:val="20"/>
                <w:szCs w:val="20"/>
                <w:highlight w:val="yellow"/>
              </w:rPr>
              <w:t>Cancer du sinus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E26C64" w:rsidRDefault="00BF1516" w:rsidP="00BF151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26C64">
              <w:rPr>
                <w:rFonts w:cs="Arial"/>
                <w:sz w:val="20"/>
                <w:szCs w:val="20"/>
                <w:highlight w:val="yellow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E26C64" w:rsidRDefault="00BF1516" w:rsidP="00BF151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E26C64">
              <w:rPr>
                <w:rFonts w:cs="Arial"/>
                <w:sz w:val="20"/>
                <w:szCs w:val="20"/>
                <w:highlight w:val="yellow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E26C64" w:rsidRDefault="00BF1516" w:rsidP="00BF1516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26C64">
              <w:rPr>
                <w:rFonts w:cs="Arial"/>
                <w:sz w:val="20"/>
                <w:szCs w:val="20"/>
                <w:highlight w:val="yellow"/>
              </w:rPr>
              <w:t>port de protections respiratoire - choix des essences de bois</w:t>
            </w:r>
            <w:r w:rsidR="00E26C64" w:rsidRPr="00E26C64">
              <w:rPr>
                <w:rFonts w:cs="Arial"/>
                <w:sz w:val="20"/>
                <w:szCs w:val="20"/>
                <w:highlight w:val="yellow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Aspirateur</w:t>
            </w:r>
            <w:r w:rsidR="00D07026">
              <w:rPr>
                <w:rFonts w:cs="Arial"/>
                <w:sz w:val="20"/>
                <w:szCs w:val="20"/>
              </w:rPr>
              <w:t xml:space="preserve"> </w:t>
            </w:r>
            <w:r w:rsidRPr="00BF1516">
              <w:rPr>
                <w:rFonts w:cs="Arial"/>
                <w:sz w:val="20"/>
                <w:szCs w:val="20"/>
              </w:rPr>
              <w:t>Gris - Aspiration de poussière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Ne pas utiliser si détérioré</w:t>
            </w:r>
            <w:r w:rsidR="00ED41D3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Aspirateur</w:t>
            </w:r>
            <w:r w:rsidR="00D07026">
              <w:rPr>
                <w:rFonts w:cs="Arial"/>
                <w:sz w:val="20"/>
                <w:szCs w:val="20"/>
              </w:rPr>
              <w:t xml:space="preserve"> </w:t>
            </w:r>
            <w:r w:rsidRPr="00BF1516">
              <w:rPr>
                <w:rFonts w:cs="Arial"/>
                <w:sz w:val="20"/>
                <w:szCs w:val="20"/>
              </w:rPr>
              <w:t>Vert - Aspiration de poussière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Ne pas utiliser si détérioré</w:t>
            </w:r>
            <w:r w:rsidR="00ED41D3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copeaux durant la coupe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protection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Coupure/blessure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gants.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Chute d'élément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chaussures de sécurité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Exposition au bruit 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protection</w:t>
            </w:r>
            <w:r w:rsidR="00D07026">
              <w:rPr>
                <w:rFonts w:cs="Arial"/>
                <w:sz w:val="20"/>
                <w:szCs w:val="20"/>
              </w:rPr>
              <w:t>s</w:t>
            </w:r>
            <w:r w:rsidRPr="00BF1516">
              <w:rPr>
                <w:rFonts w:cs="Arial"/>
                <w:sz w:val="20"/>
                <w:szCs w:val="20"/>
              </w:rPr>
              <w:t xml:space="preserve"> auditive</w:t>
            </w:r>
            <w:r w:rsidR="00D07026">
              <w:rPr>
                <w:rFonts w:cs="Arial"/>
                <w:sz w:val="20"/>
                <w:szCs w:val="20"/>
              </w:rPr>
              <w:t>s</w:t>
            </w:r>
            <w:r w:rsidRPr="00BF1516">
              <w:rPr>
                <w:rFonts w:cs="Arial"/>
                <w:sz w:val="20"/>
                <w:szCs w:val="20"/>
              </w:rPr>
              <w:t xml:space="preserve"> adéquate</w:t>
            </w:r>
            <w:r w:rsidR="00D07026">
              <w:rPr>
                <w:rFonts w:cs="Arial"/>
                <w:sz w:val="20"/>
                <w:szCs w:val="20"/>
              </w:rPr>
              <w:t>s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copeaux durant le nettoyage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Utili</w:t>
            </w:r>
            <w:r w:rsidR="00A43B02">
              <w:rPr>
                <w:rFonts w:cs="Arial"/>
                <w:sz w:val="20"/>
                <w:szCs w:val="20"/>
              </w:rPr>
              <w:t>ser une brosse ou un aspirateur - é</w:t>
            </w:r>
            <w:r w:rsidRPr="00BF1516">
              <w:rPr>
                <w:rFonts w:cs="Arial"/>
                <w:sz w:val="20"/>
                <w:szCs w:val="20"/>
              </w:rPr>
              <w:t>viter l'utilisation de la soufflette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Rabot Electrique </w:t>
            </w:r>
            <w:proofErr w:type="spellStart"/>
            <w:r w:rsidRPr="00BF1516">
              <w:rPr>
                <w:rFonts w:cs="Arial"/>
                <w:sz w:val="20"/>
                <w:szCs w:val="20"/>
              </w:rPr>
              <w:lastRenderedPageBreak/>
              <w:t>Makitta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Rupture de lame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possible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Vérification périodique du bon état des lames.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Evacuation des lames usées/cassées.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Blessure/ coupure / </w:t>
            </w:r>
            <w:r w:rsidR="00A43B02" w:rsidRPr="00BF1516">
              <w:rPr>
                <w:rFonts w:cs="Arial"/>
                <w:sz w:val="20"/>
                <w:szCs w:val="20"/>
              </w:rPr>
              <w:t>amputation :</w:t>
            </w:r>
            <w:r w:rsidRPr="00BF1516">
              <w:rPr>
                <w:rFonts w:cs="Arial"/>
                <w:sz w:val="20"/>
                <w:szCs w:val="20"/>
              </w:rPr>
              <w:t xml:space="preserve"> mains - doigts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Coiffe de protection </w:t>
            </w:r>
            <w:r w:rsidR="00F74E0C" w:rsidRPr="00BF1516">
              <w:rPr>
                <w:rFonts w:cs="Arial"/>
                <w:sz w:val="20"/>
                <w:szCs w:val="20"/>
              </w:rPr>
              <w:t>inférieure et supérieure</w:t>
            </w:r>
            <w:r w:rsidRPr="00BF1516">
              <w:rPr>
                <w:rFonts w:cs="Arial"/>
                <w:sz w:val="20"/>
                <w:szCs w:val="20"/>
              </w:rPr>
              <w:t xml:space="preserve"> de la lame - travailleurs formés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Interrupteur électrique étanche - mise à la terre - installation dans une zone sèche - alimentation manchons anti-humidité et prise étanche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poussières et particules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Vérifier que le matériel à couper est exempt de clous de parties métalliques - port de lunettes de protection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Rupture du disque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A43B02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Vérifier état du disque avant le travail,  remplacer si </w:t>
            </w:r>
            <w:r w:rsidR="00A43B02">
              <w:rPr>
                <w:rFonts w:cs="Arial"/>
                <w:sz w:val="20"/>
                <w:szCs w:val="20"/>
              </w:rPr>
              <w:t>nécessaire.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Happement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Pas de vêtement à cordon - tenue près du corps  - capot de protection de poulie -  capot de lame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Projection de bois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La scie devra être munie d'un ciseau diviseur - Ne pas se trouver dans </w:t>
            </w:r>
            <w:r w:rsidR="00F74E0C" w:rsidRPr="00BF1516">
              <w:rPr>
                <w:rFonts w:cs="Arial"/>
                <w:sz w:val="20"/>
                <w:szCs w:val="20"/>
              </w:rPr>
              <w:t>le champ</w:t>
            </w:r>
            <w:r w:rsidRPr="00BF1516">
              <w:rPr>
                <w:rFonts w:cs="Arial"/>
                <w:sz w:val="20"/>
                <w:szCs w:val="20"/>
              </w:rPr>
              <w:t xml:space="preserve"> d'expulsion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Scie Circulaire Plongeante TS 55 EBQ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Déséquilibre/chute du à des chutes de bois au sol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Pas de sol encombré - écarter les chutes de bois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Cloueuse Pneumatique Hitachi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TMS membres supérieures : choc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A43B02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A43B02">
              <w:rPr>
                <w:rFonts w:cs="Arial"/>
                <w:sz w:val="20"/>
                <w:szCs w:val="20"/>
                <w:highlight w:val="yellow"/>
              </w:rPr>
              <w:t>XXXX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Cloueuse Pneumatique Hitachi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Blessures aux mains : retour de clou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A43B02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Ne pas mettre les mains près du point de clouage </w:t>
            </w:r>
            <w:proofErr w:type="gramStart"/>
            <w:r w:rsidRPr="00BF1516">
              <w:rPr>
                <w:rFonts w:cs="Arial"/>
                <w:sz w:val="20"/>
                <w:szCs w:val="20"/>
              </w:rPr>
              <w:t>écarter</w:t>
            </w:r>
            <w:proofErr w:type="gramEnd"/>
            <w:r w:rsidRPr="00BF1516">
              <w:rPr>
                <w:rFonts w:cs="Arial"/>
                <w:sz w:val="20"/>
                <w:szCs w:val="20"/>
              </w:rPr>
              <w:t xml:space="preserve"> au moins de la taille du clou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Cloueuse Pneumatique Hitachi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A43B02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Risque lié à l'air comprimé </w:t>
            </w:r>
            <w:r w:rsidR="00BF1516" w:rsidRPr="00BF1516">
              <w:rPr>
                <w:rFonts w:cs="Arial"/>
                <w:sz w:val="20"/>
                <w:szCs w:val="20"/>
              </w:rPr>
              <w:t>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Vérification des flexibles - des connexions</w:t>
            </w:r>
            <w:r w:rsidR="00A43B02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4C126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D07026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Scie à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Onglet </w:t>
            </w:r>
            <w:proofErr w:type="spellStart"/>
            <w:r w:rsidR="00BF1516" w:rsidRPr="00BF1516">
              <w:rPr>
                <w:rFonts w:cs="Arial"/>
                <w:sz w:val="20"/>
                <w:szCs w:val="20"/>
              </w:rPr>
              <w:t>Dewalt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Coupure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D0702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S'assurer que le garant inférieur est en place, couvre toute la lame et glisse libremen</w:t>
            </w:r>
            <w:r w:rsidR="00D07026">
              <w:rPr>
                <w:rFonts w:cs="Arial"/>
                <w:sz w:val="20"/>
                <w:szCs w:val="20"/>
              </w:rPr>
              <w:t>t avant d'utiliser la machine. N</w:t>
            </w:r>
            <w:r w:rsidRPr="00BF1516">
              <w:rPr>
                <w:rFonts w:cs="Arial"/>
                <w:sz w:val="20"/>
                <w:szCs w:val="20"/>
              </w:rPr>
              <w:t xml:space="preserve">e pas placer les membres près de la lame. </w:t>
            </w:r>
            <w:r w:rsidR="00D07026">
              <w:rPr>
                <w:rFonts w:cs="Arial"/>
                <w:sz w:val="20"/>
                <w:szCs w:val="20"/>
              </w:rPr>
              <w:t>N</w:t>
            </w:r>
            <w:r w:rsidRPr="00BF1516">
              <w:rPr>
                <w:rFonts w:cs="Arial"/>
                <w:sz w:val="20"/>
                <w:szCs w:val="20"/>
              </w:rPr>
              <w:t xml:space="preserve">e pas utiliser une </w:t>
            </w:r>
            <w:r w:rsidR="00F74E0C" w:rsidRPr="00BF1516">
              <w:rPr>
                <w:rFonts w:cs="Arial"/>
                <w:sz w:val="20"/>
                <w:szCs w:val="20"/>
              </w:rPr>
              <w:t>machine</w:t>
            </w:r>
            <w:r w:rsidRPr="00BF1516">
              <w:rPr>
                <w:rFonts w:cs="Arial"/>
                <w:sz w:val="20"/>
                <w:szCs w:val="20"/>
              </w:rPr>
              <w:t xml:space="preserve"> défectueuse. Suivre les instructions du mode d'emploi.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E16387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Scie à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Onglet </w:t>
            </w:r>
            <w:proofErr w:type="spellStart"/>
            <w:r w:rsidR="00BF1516" w:rsidRPr="00BF1516">
              <w:rPr>
                <w:rFonts w:cs="Arial"/>
                <w:sz w:val="20"/>
                <w:szCs w:val="20"/>
              </w:rPr>
              <w:t>Dewalt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heurt par bois projeté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 xml:space="preserve">Risque important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lastRenderedPageBreak/>
              <w:t xml:space="preserve">Toujours serrer fermement ou placer </w:t>
            </w:r>
            <w:r w:rsidRPr="00BF1516">
              <w:rPr>
                <w:rFonts w:cs="Arial"/>
                <w:sz w:val="20"/>
                <w:szCs w:val="20"/>
              </w:rPr>
              <w:lastRenderedPageBreak/>
              <w:t>dans l'étau et contre la</w:t>
            </w:r>
            <w:r w:rsidR="00572E33">
              <w:rPr>
                <w:rFonts w:cs="Arial"/>
                <w:sz w:val="20"/>
                <w:szCs w:val="20"/>
              </w:rPr>
              <w:t xml:space="preserve"> barrière le bois à travailler - t</w:t>
            </w:r>
            <w:r w:rsidR="00F74E0C" w:rsidRPr="00BF1516">
              <w:rPr>
                <w:rFonts w:cs="Arial"/>
                <w:sz w:val="20"/>
                <w:szCs w:val="20"/>
              </w:rPr>
              <w:t>oujours utiliser</w:t>
            </w:r>
            <w:r w:rsidRPr="00BF1516">
              <w:rPr>
                <w:rFonts w:cs="Arial"/>
                <w:sz w:val="20"/>
                <w:szCs w:val="20"/>
              </w:rPr>
              <w:t xml:space="preserve"> des supports extérieurs si la pièce dépasse l'établi de la scie à onglet.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E16387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Scie à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Onglet </w:t>
            </w:r>
            <w:proofErr w:type="spellStart"/>
            <w:r w:rsidR="00BF1516" w:rsidRPr="00BF1516">
              <w:rPr>
                <w:rFonts w:cs="Arial"/>
                <w:sz w:val="20"/>
                <w:szCs w:val="20"/>
              </w:rPr>
              <w:t>Dewalt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l</w:t>
            </w:r>
            <w:r w:rsidR="00E16387">
              <w:rPr>
                <w:rFonts w:cs="Arial"/>
                <w:sz w:val="20"/>
                <w:szCs w:val="20"/>
              </w:rPr>
              <w:t>ésions auditives ou oc</w:t>
            </w:r>
            <w:r w:rsidRPr="00BF1516">
              <w:rPr>
                <w:rFonts w:cs="Arial"/>
                <w:sz w:val="20"/>
                <w:szCs w:val="20"/>
              </w:rPr>
              <w:t>ulaires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de lunettes de sécurité et de protections auditives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BF1516" w:rsidRPr="00091C94" w:rsidTr="00BF1516">
        <w:tc>
          <w:tcPr>
            <w:tcW w:w="1668" w:type="dxa"/>
            <w:shd w:val="clear" w:color="auto" w:fill="FFFFFF" w:themeFill="background1"/>
            <w:vAlign w:val="center"/>
          </w:tcPr>
          <w:p w:rsidR="00BF1516" w:rsidRPr="00BF1516" w:rsidRDefault="00E16387" w:rsidP="00BF15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Scie à</w:t>
            </w:r>
            <w:r w:rsidR="00BF1516" w:rsidRPr="00BF1516">
              <w:rPr>
                <w:rFonts w:cs="Arial"/>
                <w:sz w:val="20"/>
                <w:szCs w:val="20"/>
              </w:rPr>
              <w:t xml:space="preserve"> Onglet </w:t>
            </w:r>
            <w:proofErr w:type="spellStart"/>
            <w:r w:rsidR="00BF1516" w:rsidRPr="00BF1516">
              <w:rPr>
                <w:rFonts w:cs="Arial"/>
                <w:sz w:val="20"/>
                <w:szCs w:val="20"/>
              </w:rPr>
              <w:t>Dewalt</w:t>
            </w:r>
            <w:proofErr w:type="spellEnd"/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respiration de poussière de bois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BF1516" w:rsidRPr="00BF1516" w:rsidRDefault="00BF1516" w:rsidP="00BF1516">
            <w:pPr>
              <w:jc w:val="center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BF1516" w:rsidRPr="00BF1516" w:rsidRDefault="00BF1516" w:rsidP="00BF1516">
            <w:pPr>
              <w:jc w:val="both"/>
              <w:rPr>
                <w:rFonts w:cs="Arial"/>
                <w:sz w:val="20"/>
                <w:szCs w:val="20"/>
              </w:rPr>
            </w:pPr>
            <w:r w:rsidRPr="00BF1516">
              <w:rPr>
                <w:rFonts w:cs="Arial"/>
                <w:sz w:val="20"/>
                <w:szCs w:val="20"/>
              </w:rPr>
              <w:t>Port d'un masque anti-poussière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091C94">
        <w:tc>
          <w:tcPr>
            <w:tcW w:w="9572" w:type="dxa"/>
            <w:gridSpan w:val="16"/>
            <w:shd w:val="clear" w:color="auto" w:fill="D9D9D9" w:themeFill="background1" w:themeFillShade="D9"/>
          </w:tcPr>
          <w:p w:rsidR="00091C94" w:rsidRPr="00091C94" w:rsidRDefault="00117B5E" w:rsidP="00091C9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 w:rsidR="00AB5C59"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 w:rsidR="00E16387"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Blessure </w:t>
            </w:r>
            <w:r w:rsidR="000F5E7C" w:rsidRPr="00117B5E">
              <w:rPr>
                <w:rFonts w:cs="Arial"/>
                <w:sz w:val="20"/>
                <w:szCs w:val="20"/>
              </w:rPr>
              <w:t>aux pieds</w:t>
            </w:r>
            <w:r w:rsidRPr="00117B5E">
              <w:rPr>
                <w:rFonts w:cs="Arial"/>
                <w:sz w:val="20"/>
                <w:szCs w:val="20"/>
              </w:rPr>
              <w:t xml:space="preserve">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E16387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(S3, S1P)</w:t>
            </w:r>
            <w:r w:rsidR="00E16387"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 w:rsidR="005358F5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6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3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vestes à manche longue</w:t>
            </w:r>
            <w:r w:rsidR="005358F5">
              <w:rPr>
                <w:rFonts w:cs="Arial"/>
                <w:sz w:val="20"/>
                <w:szCs w:val="20"/>
              </w:rPr>
              <w:t xml:space="preserve"> recommandé.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B1" w:rsidRDefault="003C54B1" w:rsidP="00126B77">
      <w:pPr>
        <w:spacing w:after="0" w:line="240" w:lineRule="auto"/>
      </w:pPr>
      <w:r>
        <w:separator/>
      </w:r>
    </w:p>
  </w:endnote>
  <w:endnote w:type="continuationSeparator" w:id="0">
    <w:p w:rsidR="003C54B1" w:rsidRDefault="003C54B1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3C54B1">
      <w:tc>
        <w:tcPr>
          <w:tcW w:w="9865" w:type="dxa"/>
          <w:vAlign w:val="bottom"/>
        </w:tcPr>
        <w:p w:rsidR="003C54B1" w:rsidRPr="009916C8" w:rsidRDefault="003C54B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3C54B1" w:rsidRDefault="003C54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3C54B1">
      <w:tc>
        <w:tcPr>
          <w:tcW w:w="9865" w:type="dxa"/>
          <w:vAlign w:val="bottom"/>
        </w:tcPr>
        <w:p w:rsidR="003C54B1" w:rsidRPr="009916C8" w:rsidRDefault="003C54B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3C54B1" w:rsidRDefault="003C54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B1" w:rsidRDefault="003C54B1" w:rsidP="00126B77">
      <w:pPr>
        <w:spacing w:after="0" w:line="240" w:lineRule="auto"/>
      </w:pPr>
      <w:r>
        <w:separator/>
      </w:r>
    </w:p>
  </w:footnote>
  <w:footnote w:type="continuationSeparator" w:id="0">
    <w:p w:rsidR="003C54B1" w:rsidRDefault="003C54B1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3C54B1">
      <w:trPr>
        <w:trHeight w:val="213"/>
      </w:trPr>
      <w:tc>
        <w:tcPr>
          <w:tcW w:w="9865" w:type="dxa"/>
          <w:vAlign w:val="center"/>
        </w:tcPr>
        <w:p w:rsidR="003C54B1" w:rsidRDefault="003C54B1">
          <w:pPr>
            <w:spacing w:after="0" w:line="240" w:lineRule="auto"/>
          </w:pPr>
        </w:p>
      </w:tc>
    </w:tr>
  </w:tbl>
  <w:p w:rsidR="003C54B1" w:rsidRDefault="003C54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3C54B1">
      <w:trPr>
        <w:trHeight w:val="213"/>
      </w:trPr>
      <w:tc>
        <w:tcPr>
          <w:tcW w:w="9865" w:type="dxa"/>
          <w:vAlign w:val="center"/>
        </w:tcPr>
        <w:p w:rsidR="003C54B1" w:rsidRDefault="003C54B1">
          <w:pPr>
            <w:spacing w:after="0" w:line="240" w:lineRule="auto"/>
          </w:pPr>
        </w:p>
      </w:tc>
    </w:tr>
  </w:tbl>
  <w:p w:rsidR="003C54B1" w:rsidRDefault="003C54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00AF2"/>
    <w:rsid w:val="00003706"/>
    <w:rsid w:val="000146E3"/>
    <w:rsid w:val="00027268"/>
    <w:rsid w:val="000314B1"/>
    <w:rsid w:val="000328E3"/>
    <w:rsid w:val="00041865"/>
    <w:rsid w:val="00047963"/>
    <w:rsid w:val="00053058"/>
    <w:rsid w:val="000618DA"/>
    <w:rsid w:val="000917B5"/>
    <w:rsid w:val="00091C94"/>
    <w:rsid w:val="00096263"/>
    <w:rsid w:val="000A32EA"/>
    <w:rsid w:val="000A37B6"/>
    <w:rsid w:val="000B3412"/>
    <w:rsid w:val="000F524F"/>
    <w:rsid w:val="000F5E7C"/>
    <w:rsid w:val="00117B5E"/>
    <w:rsid w:val="0012234B"/>
    <w:rsid w:val="00126B77"/>
    <w:rsid w:val="00130CBA"/>
    <w:rsid w:val="00167C4F"/>
    <w:rsid w:val="001700F2"/>
    <w:rsid w:val="00174498"/>
    <w:rsid w:val="00182803"/>
    <w:rsid w:val="0019374C"/>
    <w:rsid w:val="00196929"/>
    <w:rsid w:val="001E2356"/>
    <w:rsid w:val="001E45A7"/>
    <w:rsid w:val="00207285"/>
    <w:rsid w:val="002340A5"/>
    <w:rsid w:val="002E2654"/>
    <w:rsid w:val="002F5893"/>
    <w:rsid w:val="00326E34"/>
    <w:rsid w:val="00362301"/>
    <w:rsid w:val="00365B53"/>
    <w:rsid w:val="00377D98"/>
    <w:rsid w:val="003A7295"/>
    <w:rsid w:val="003C54B1"/>
    <w:rsid w:val="003D1B98"/>
    <w:rsid w:val="003D5353"/>
    <w:rsid w:val="003E180F"/>
    <w:rsid w:val="00400F0F"/>
    <w:rsid w:val="00406FD9"/>
    <w:rsid w:val="00420E90"/>
    <w:rsid w:val="00433861"/>
    <w:rsid w:val="00456A38"/>
    <w:rsid w:val="00473019"/>
    <w:rsid w:val="00474AC2"/>
    <w:rsid w:val="00491793"/>
    <w:rsid w:val="004C1266"/>
    <w:rsid w:val="004E42F9"/>
    <w:rsid w:val="004E57FB"/>
    <w:rsid w:val="004F549E"/>
    <w:rsid w:val="004F7D1E"/>
    <w:rsid w:val="005358F5"/>
    <w:rsid w:val="00545BA5"/>
    <w:rsid w:val="00547B02"/>
    <w:rsid w:val="00562AF9"/>
    <w:rsid w:val="0057084C"/>
    <w:rsid w:val="00572E33"/>
    <w:rsid w:val="005E26E3"/>
    <w:rsid w:val="00613A75"/>
    <w:rsid w:val="00650E45"/>
    <w:rsid w:val="00656A19"/>
    <w:rsid w:val="00691A80"/>
    <w:rsid w:val="006A3E6F"/>
    <w:rsid w:val="006D10AA"/>
    <w:rsid w:val="006D16A2"/>
    <w:rsid w:val="006D274C"/>
    <w:rsid w:val="006D6989"/>
    <w:rsid w:val="006E08A3"/>
    <w:rsid w:val="006E4715"/>
    <w:rsid w:val="007142A9"/>
    <w:rsid w:val="00737A55"/>
    <w:rsid w:val="00745000"/>
    <w:rsid w:val="00751F69"/>
    <w:rsid w:val="00790D8C"/>
    <w:rsid w:val="007B35B0"/>
    <w:rsid w:val="007C7841"/>
    <w:rsid w:val="007E316E"/>
    <w:rsid w:val="008340E6"/>
    <w:rsid w:val="0083731F"/>
    <w:rsid w:val="008A2979"/>
    <w:rsid w:val="008A7BD0"/>
    <w:rsid w:val="008C2ED5"/>
    <w:rsid w:val="008D789A"/>
    <w:rsid w:val="008E64D5"/>
    <w:rsid w:val="008F1F77"/>
    <w:rsid w:val="00967524"/>
    <w:rsid w:val="009916C8"/>
    <w:rsid w:val="009C1B19"/>
    <w:rsid w:val="009E2F66"/>
    <w:rsid w:val="009F4347"/>
    <w:rsid w:val="00A12127"/>
    <w:rsid w:val="00A4388F"/>
    <w:rsid w:val="00A43B02"/>
    <w:rsid w:val="00A8403D"/>
    <w:rsid w:val="00A840F3"/>
    <w:rsid w:val="00A86F35"/>
    <w:rsid w:val="00AB5C59"/>
    <w:rsid w:val="00AB791B"/>
    <w:rsid w:val="00AF6505"/>
    <w:rsid w:val="00B22980"/>
    <w:rsid w:val="00B2405E"/>
    <w:rsid w:val="00B24F9E"/>
    <w:rsid w:val="00B26DE8"/>
    <w:rsid w:val="00B47FAD"/>
    <w:rsid w:val="00B52AF0"/>
    <w:rsid w:val="00B53DC1"/>
    <w:rsid w:val="00B57CFF"/>
    <w:rsid w:val="00B861BE"/>
    <w:rsid w:val="00B931A0"/>
    <w:rsid w:val="00BB4E95"/>
    <w:rsid w:val="00BD0880"/>
    <w:rsid w:val="00BD3746"/>
    <w:rsid w:val="00BE27C7"/>
    <w:rsid w:val="00BF02F1"/>
    <w:rsid w:val="00BF1516"/>
    <w:rsid w:val="00C37F9D"/>
    <w:rsid w:val="00C41629"/>
    <w:rsid w:val="00CC6753"/>
    <w:rsid w:val="00CD4646"/>
    <w:rsid w:val="00CF1038"/>
    <w:rsid w:val="00D07026"/>
    <w:rsid w:val="00D11F70"/>
    <w:rsid w:val="00D301A1"/>
    <w:rsid w:val="00D56B63"/>
    <w:rsid w:val="00D73BBF"/>
    <w:rsid w:val="00D87DA1"/>
    <w:rsid w:val="00DB0D81"/>
    <w:rsid w:val="00DC2A27"/>
    <w:rsid w:val="00DD19FC"/>
    <w:rsid w:val="00DE0B0B"/>
    <w:rsid w:val="00E16387"/>
    <w:rsid w:val="00E25286"/>
    <w:rsid w:val="00E26BAA"/>
    <w:rsid w:val="00E26C64"/>
    <w:rsid w:val="00E42F0B"/>
    <w:rsid w:val="00E87462"/>
    <w:rsid w:val="00E963B3"/>
    <w:rsid w:val="00ED41D3"/>
    <w:rsid w:val="00EE77B6"/>
    <w:rsid w:val="00EF48DD"/>
    <w:rsid w:val="00F21E33"/>
    <w:rsid w:val="00F232D4"/>
    <w:rsid w:val="00F37160"/>
    <w:rsid w:val="00F40133"/>
    <w:rsid w:val="00F74E0C"/>
    <w:rsid w:val="00F93D23"/>
    <w:rsid w:val="00FC715C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4627</Words>
  <Characters>25453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servicemarches</cp:lastModifiedBy>
  <cp:revision>19</cp:revision>
  <cp:lastPrinted>2019-09-09T09:53:00Z</cp:lastPrinted>
  <dcterms:created xsi:type="dcterms:W3CDTF">2019-09-05T13:53:00Z</dcterms:created>
  <dcterms:modified xsi:type="dcterms:W3CDTF">2020-04-07T12:56:00Z</dcterms:modified>
</cp:coreProperties>
</file>